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江</w:t>
      </w:r>
      <w:r>
        <w:rPr>
          <w:rFonts w:hint="eastAsia" w:ascii="黑体" w:eastAsia="黑体"/>
          <w:b w:val="0"/>
          <w:w w:val="100"/>
          <w:sz w:val="48"/>
        </w:rPr>
        <w:t>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202X</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场（厂）内专用机动车辆智慧安全监管系统通用技术要求</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General technical requirements of intelligent safety supervision system for special purpose motor vehicles in special fields</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（本草案完成时间：2024年0</w:t>
      </w:r>
      <w:r>
        <w:rPr>
          <w:rFonts w:hint="eastAsia"/>
          <w:sz w:val="21"/>
          <w:szCs w:val="28"/>
          <w:lang w:val="en-US" w:eastAsia="zh-CN"/>
        </w:rPr>
        <w:t>9</w:t>
      </w:r>
      <w:r>
        <w:rPr>
          <w:rFonts w:hint="eastAsia"/>
          <w:sz w:val="21"/>
          <w:szCs w:val="28"/>
        </w:rPr>
        <w:t>月）</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rPr>
          <w:rFonts w:hint="eastAsia"/>
        </w:rPr>
      </w:pPr>
      <w:bookmarkStart w:id="21" w:name="BookMark1"/>
      <w:bookmarkStart w:id="22" w:name="_Toc396"/>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"标准文件_一级条标题,2,标准文件_二级条标题,3,标准文件_三级条标题,4,标准文件_附录一级条标题,2,标准文件_附录二级条标题,3,标准文件_附录三级条标题,4," </w:instrText>
      </w:r>
      <w:r>
        <w:fldChar w:fldCharType="separate"/>
      </w:r>
      <w:r>
        <w:fldChar w:fldCharType="begin"/>
      </w:r>
      <w:r>
        <w:instrText xml:space="preserve"> HYPERLINK \l "_Toc178278177"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_Toc178278177 \h</w:instrText>
      </w:r>
      <w:r>
        <w:rPr>
          <w:rFonts w:hint="eastAsia"/>
        </w:rPr>
        <w:instrText xml:space="preserve"> </w:instrText>
      </w:r>
      <w:r>
        <w:fldChar w:fldCharType="separate"/>
      </w:r>
      <w:r>
        <w:t>III</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"_Toc178278178"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_Toc178278178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"_Toc178278179"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_Toc178278179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"_Toc178278180"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bookmarkStart w:id="198" w:name="_GoBack"/>
      <w:bookmarkEnd w:id="198"/>
      <w:r>
        <w:rPr>
          <w:rFonts w:hint="eastAsia"/>
        </w:rPr>
        <w:fldChar w:fldCharType="begin"/>
      </w:r>
      <w:r>
        <w:rPr>
          <w:rFonts w:hint="eastAsia"/>
        </w:rPr>
        <w:instrText xml:space="preserve"> </w:instrText>
      </w:r>
      <w:r>
        <w:instrText xml:space="preserve">PAGEREF _Toc178278180 \h</w:instrText>
      </w:r>
      <w:r>
        <w:rPr>
          <w:rFonts w:hint="eastAsia"/>
        </w:rPr>
        <w:instrText xml:space="preserve"> </w:instrText>
      </w:r>
      <w: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"_Toc178278181" </w:instrText>
      </w:r>
      <w:r>
        <w:fldChar w:fldCharType="separate"/>
      </w:r>
      <w:r>
        <w:rPr>
          <w:rStyle w:val="32"/>
          <w:rFonts w:hint="eastAsia"/>
        </w:rPr>
        <w:t>4</w:t>
      </w:r>
      <w:r>
        <w:rPr>
          <w:rStyle w:val="32"/>
        </w:rPr>
        <w:t xml:space="preserve"> </w:t>
      </w:r>
      <w:r>
        <w:rPr>
          <w:rStyle w:val="32"/>
          <w:rFonts w:hint="eastAsia"/>
        </w:rPr>
        <w:t xml:space="preserve"> 整体架构及建设要求</w:t>
      </w:r>
      <w:r>
        <w:rPr>
          <w:rFonts w:hint="eastAsia"/>
        </w:rPr>
        <w:tab/>
      </w:r>
      <w:r>
        <w:rPr>
          <w:rFonts w:hint="eastAsia"/>
        </w:rPr>
        <w:fldChar w:fldCharType="begin"/>
      </w:r>
      <w:r>
        <w:rPr>
          <w:rFonts w:hint="eastAsia"/>
        </w:rPr>
        <w:instrText xml:space="preserve"> </w:instrText>
      </w:r>
      <w:r>
        <w:instrText xml:space="preserve">PAGEREF _Toc178278181 \h</w:instrText>
      </w:r>
      <w:r>
        <w:rPr>
          <w:rFonts w:hint="eastAsia"/>
        </w:rPr>
        <w:instrText xml:space="preserve"> </w:instrText>
      </w:r>
      <w:r>
        <w:fldChar w:fldCharType="separate"/>
      </w:r>
      <w:r>
        <w:t>2</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"_Toc178278182" </w:instrText>
      </w:r>
      <w:r>
        <w:fldChar w:fldCharType="separate"/>
      </w:r>
      <w:r>
        <w:rPr>
          <w:rStyle w:val="32"/>
          <w:rFonts w:hint="eastAsia"/>
        </w:rPr>
        <w:t>5</w:t>
      </w:r>
      <w:r>
        <w:rPr>
          <w:rStyle w:val="32"/>
        </w:rPr>
        <w:t xml:space="preserve"> </w:t>
      </w:r>
      <w:r>
        <w:rPr>
          <w:rStyle w:val="32"/>
          <w:rFonts w:hint="eastAsia"/>
        </w:rPr>
        <w:t xml:space="preserve"> 物联设备</w:t>
      </w:r>
      <w:r>
        <w:rPr>
          <w:rFonts w:hint="eastAsia"/>
        </w:rPr>
        <w:tab/>
      </w:r>
      <w:r>
        <w:rPr>
          <w:rFonts w:hint="eastAsia"/>
        </w:rPr>
        <w:fldChar w:fldCharType="begin"/>
      </w:r>
      <w:r>
        <w:rPr>
          <w:rFonts w:hint="eastAsia"/>
        </w:rPr>
        <w:instrText xml:space="preserve"> </w:instrText>
      </w:r>
      <w:r>
        <w:instrText xml:space="preserve">PAGEREF _Toc178278182 \h</w:instrText>
      </w:r>
      <w:r>
        <w:rPr>
          <w:rFonts w:hint="eastAsia"/>
        </w:rPr>
        <w:instrText xml:space="preserve"> </w:instrText>
      </w:r>
      <w:r>
        <w:fldChar w:fldCharType="separate"/>
      </w:r>
      <w:r>
        <w:t>2</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"_Toc178278183" </w:instrText>
      </w:r>
      <w:r>
        <w:fldChar w:fldCharType="separate"/>
      </w:r>
      <w:r>
        <w:rPr>
          <w:rStyle w:val="32"/>
          <w:rFonts w:hint="eastAsia"/>
        </w:rPr>
        <w:t>6</w:t>
      </w:r>
      <w:r>
        <w:rPr>
          <w:rStyle w:val="32"/>
        </w:rPr>
        <w:t xml:space="preserve"> </w:t>
      </w:r>
      <w:r>
        <w:rPr>
          <w:rStyle w:val="32"/>
          <w:rFonts w:hint="eastAsia"/>
        </w:rPr>
        <w:t xml:space="preserve"> 场车应用系统</w:t>
      </w:r>
      <w:r>
        <w:rPr>
          <w:rFonts w:hint="eastAsia"/>
        </w:rPr>
        <w:tab/>
      </w:r>
      <w:r>
        <w:rPr>
          <w:rFonts w:hint="eastAsia"/>
        </w:rPr>
        <w:fldChar w:fldCharType="begin"/>
      </w:r>
      <w:r>
        <w:rPr>
          <w:rFonts w:hint="eastAsia"/>
        </w:rPr>
        <w:instrText xml:space="preserve"> </w:instrText>
      </w:r>
      <w:r>
        <w:instrText xml:space="preserve">PAGEREF _Toc178278183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"_Toc178278184" </w:instrText>
      </w:r>
      <w:r>
        <w:fldChar w:fldCharType="separate"/>
      </w:r>
      <w:r>
        <w:rPr>
          <w:rStyle w:val="32"/>
          <w:rFonts w:hint="eastAsia"/>
          <w14:scene3d>
            <w14:lightRig w14:rig="threePt" w14:dir="t">
              <w14:rot w14:lat="0" w14:lon="0" w14:rev="0"/>
            </w14:lightRig>
          </w14:scene3d>
        </w:rPr>
        <w:t>6.1</w:t>
      </w:r>
      <w:r>
        <w:rPr>
          <w:rStyle w:val="32"/>
          <w14:scene3d>
            <w14:lightRig w14:rig="threePt" w14:dir="t">
              <w14:rot w14:lat="0" w14:lon="0" w14:rev="0"/>
            </w14:lightRig>
          </w14:scene3d>
        </w:rPr>
        <w:t xml:space="preserve"> </w:t>
      </w:r>
      <w:r>
        <w:rPr>
          <w:rStyle w:val="32"/>
          <w:rFonts w:hint="eastAsia"/>
        </w:rPr>
        <w:t xml:space="preserve"> 合法性验证</w:t>
      </w:r>
      <w:r>
        <w:rPr>
          <w:rFonts w:hint="eastAsia"/>
        </w:rPr>
        <w:tab/>
      </w:r>
      <w:r>
        <w:rPr>
          <w:rFonts w:hint="eastAsia"/>
        </w:rPr>
        <w:fldChar w:fldCharType="begin"/>
      </w:r>
      <w:r>
        <w:rPr>
          <w:rFonts w:hint="eastAsia"/>
        </w:rPr>
        <w:instrText xml:space="preserve"> </w:instrText>
      </w:r>
      <w:r>
        <w:instrText xml:space="preserve">PAGEREF _Toc178278184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"_Toc178278185" </w:instrText>
      </w:r>
      <w:r>
        <w:fldChar w:fldCharType="separate"/>
      </w:r>
      <w:r>
        <w:rPr>
          <w:rStyle w:val="32"/>
          <w:rFonts w:hint="eastAsia"/>
          <w14:scene3d>
            <w14:lightRig w14:rig="threePt" w14:dir="t">
              <w14:rot w14:lat="0" w14:lon="0" w14:rev="0"/>
            </w14:lightRig>
          </w14:scene3d>
        </w:rPr>
        <w:t>6.2</w:t>
      </w:r>
      <w:r>
        <w:rPr>
          <w:rStyle w:val="32"/>
          <w14:scene3d>
            <w14:lightRig w14:rig="threePt" w14:dir="t">
              <w14:rot w14:lat="0" w14:lon="0" w14:rev="0"/>
            </w14:lightRig>
          </w14:scene3d>
        </w:rPr>
        <w:t xml:space="preserve"> </w:t>
      </w:r>
      <w:r>
        <w:rPr>
          <w:rStyle w:val="32"/>
          <w:rFonts w:hint="eastAsia"/>
        </w:rPr>
        <w:t xml:space="preserve"> 预警提示</w:t>
      </w:r>
      <w:r>
        <w:rPr>
          <w:rFonts w:hint="eastAsia"/>
        </w:rPr>
        <w:tab/>
      </w:r>
      <w:r>
        <w:rPr>
          <w:rFonts w:hint="eastAsia"/>
        </w:rPr>
        <w:fldChar w:fldCharType="begin"/>
      </w:r>
      <w:r>
        <w:rPr>
          <w:rFonts w:hint="eastAsia"/>
        </w:rPr>
        <w:instrText xml:space="preserve"> </w:instrText>
      </w:r>
      <w:r>
        <w:instrText xml:space="preserve">PAGEREF _Toc178278185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"_Toc178278186" </w:instrText>
      </w:r>
      <w:r>
        <w:fldChar w:fldCharType="separate"/>
      </w:r>
      <w:r>
        <w:rPr>
          <w:rStyle w:val="32"/>
          <w:rFonts w:hint="eastAsia"/>
        </w:rPr>
        <w:t>6.2.1</w:t>
      </w:r>
      <w:r>
        <w:rPr>
          <w:rStyle w:val="32"/>
        </w:rPr>
        <w:t xml:space="preserve"> </w:t>
      </w:r>
      <w:r>
        <w:rPr>
          <w:rStyle w:val="32"/>
          <w:rFonts w:hint="eastAsia"/>
        </w:rPr>
        <w:t xml:space="preserve"> 一般要求</w:t>
      </w:r>
      <w:r>
        <w:rPr>
          <w:rFonts w:hint="eastAsia"/>
        </w:rPr>
        <w:tab/>
      </w:r>
      <w:r>
        <w:rPr>
          <w:rFonts w:hint="eastAsia"/>
        </w:rPr>
        <w:fldChar w:fldCharType="begin"/>
      </w:r>
      <w:r>
        <w:rPr>
          <w:rFonts w:hint="eastAsia"/>
        </w:rPr>
        <w:instrText xml:space="preserve"> </w:instrText>
      </w:r>
      <w:r>
        <w:instrText xml:space="preserve">PAGEREF _Toc178278186 \h</w:instrText>
      </w:r>
      <w:r>
        <w:rPr>
          <w:rFonts w:hint="eastAsia"/>
        </w:rPr>
        <w:instrText xml:space="preserve"> </w:instrText>
      </w:r>
      <w:r>
        <w:fldChar w:fldCharType="separate"/>
      </w:r>
      <w:r>
        <w:t>3</w:t>
      </w:r>
      <w:r>
        <w:rPr>
          <w:rFonts w:hint="eastAsia"/>
        </w:rPr>
        <w:fldChar w:fldCharType="end"/>
      </w:r>
      <w:r>
        <w:rPr>
          <w:rFonts w:hint="eastAsia"/>
        </w:rPr>
        <w:fldChar w:fldCharType="end"/>
      </w:r>
    </w:p>
    <w:p>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"_Toc178278187" </w:instrText>
      </w:r>
      <w:r>
        <w:fldChar w:fldCharType="separate"/>
      </w:r>
      <w:r>
        <w:rPr>
          <w:rStyle w:val="32"/>
          <w:rFonts w:hint="eastAsia"/>
        </w:rPr>
        <w:t>6.2.2</w:t>
      </w:r>
      <w:r>
        <w:rPr>
          <w:rStyle w:val="32"/>
        </w:rPr>
        <w:t xml:space="preserve"> </w:t>
      </w:r>
      <w:r>
        <w:rPr>
          <w:rStyle w:val="32"/>
          <w:rFonts w:hint="eastAsia"/>
        </w:rPr>
        <w:t xml:space="preserve"> 预警警报</w:t>
      </w:r>
      <w:r>
        <w:rPr>
          <w:rFonts w:hint="eastAsia"/>
        </w:rPr>
        <w:tab/>
      </w:r>
      <w:r>
        <w:rPr>
          <w:rFonts w:hint="eastAsia"/>
        </w:rPr>
        <w:fldChar w:fldCharType="begin"/>
      </w:r>
      <w:r>
        <w:rPr>
          <w:rFonts w:hint="eastAsia"/>
        </w:rPr>
        <w:instrText xml:space="preserve"> </w:instrText>
      </w:r>
      <w:r>
        <w:instrText xml:space="preserve">PAGEREF _Toc178278187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"_Toc178278188" </w:instrText>
      </w:r>
      <w:r>
        <w:fldChar w:fldCharType="separate"/>
      </w:r>
      <w:r>
        <w:rPr>
          <w:rStyle w:val="32"/>
          <w:rFonts w:hint="eastAsia"/>
        </w:rPr>
        <w:t>6.2.3</w:t>
      </w:r>
      <w:r>
        <w:rPr>
          <w:rStyle w:val="32"/>
        </w:rPr>
        <w:t xml:space="preserve"> </w:t>
      </w:r>
      <w:r>
        <w:rPr>
          <w:rStyle w:val="32"/>
          <w:rFonts w:hint="eastAsia"/>
        </w:rPr>
        <w:t xml:space="preserve"> 应用系统对车辆和人员要求</w:t>
      </w:r>
      <w:r>
        <w:rPr>
          <w:rFonts w:hint="eastAsia"/>
        </w:rPr>
        <w:tab/>
      </w:r>
      <w:r>
        <w:rPr>
          <w:rFonts w:hint="eastAsia"/>
        </w:rPr>
        <w:fldChar w:fldCharType="begin"/>
      </w:r>
      <w:r>
        <w:rPr>
          <w:rFonts w:hint="eastAsia"/>
        </w:rPr>
        <w:instrText xml:space="preserve"> </w:instrText>
      </w:r>
      <w:r>
        <w:instrText xml:space="preserve">PAGEREF _Toc178278188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"_Toc178278189" </w:instrText>
      </w:r>
      <w:r>
        <w:fldChar w:fldCharType="separate"/>
      </w:r>
      <w:r>
        <w:rPr>
          <w:rStyle w:val="32"/>
          <w:rFonts w:hint="eastAsia"/>
        </w:rPr>
        <w:t>6.2.4</w:t>
      </w:r>
      <w:r>
        <w:rPr>
          <w:rStyle w:val="32"/>
        </w:rPr>
        <w:t xml:space="preserve"> </w:t>
      </w:r>
      <w:r>
        <w:rPr>
          <w:rStyle w:val="32"/>
          <w:rFonts w:hint="eastAsia"/>
        </w:rPr>
        <w:t xml:space="preserve"> 预警记录的推送与处置</w:t>
      </w:r>
      <w:r>
        <w:rPr>
          <w:rFonts w:hint="eastAsia"/>
        </w:rPr>
        <w:tab/>
      </w:r>
      <w:r>
        <w:rPr>
          <w:rFonts w:hint="eastAsia"/>
        </w:rPr>
        <w:fldChar w:fldCharType="begin"/>
      </w:r>
      <w:r>
        <w:rPr>
          <w:rFonts w:hint="eastAsia"/>
        </w:rPr>
        <w:instrText xml:space="preserve"> </w:instrText>
      </w:r>
      <w:r>
        <w:instrText xml:space="preserve">PAGEREF _Toc178278189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"_Toc178278190" </w:instrText>
      </w:r>
      <w:r>
        <w:fldChar w:fldCharType="separate"/>
      </w:r>
      <w:r>
        <w:rPr>
          <w:rStyle w:val="32"/>
          <w:rFonts w:hint="eastAsia"/>
        </w:rPr>
        <w:t>6.2.5</w:t>
      </w:r>
      <w:r>
        <w:rPr>
          <w:rStyle w:val="32"/>
        </w:rPr>
        <w:t xml:space="preserve"> </w:t>
      </w:r>
      <w:r>
        <w:rPr>
          <w:rStyle w:val="32"/>
          <w:rFonts w:hint="eastAsia"/>
        </w:rPr>
        <w:t xml:space="preserve"> 现场要求</w:t>
      </w:r>
      <w:r>
        <w:rPr>
          <w:rFonts w:hint="eastAsia"/>
        </w:rPr>
        <w:tab/>
      </w:r>
      <w:r>
        <w:rPr>
          <w:rFonts w:hint="eastAsia"/>
        </w:rPr>
        <w:fldChar w:fldCharType="begin"/>
      </w:r>
      <w:r>
        <w:rPr>
          <w:rFonts w:hint="eastAsia"/>
        </w:rPr>
        <w:instrText xml:space="preserve"> </w:instrText>
      </w:r>
      <w:r>
        <w:instrText xml:space="preserve">PAGEREF _Toc178278190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"_Toc178278191" </w:instrText>
      </w:r>
      <w:r>
        <w:fldChar w:fldCharType="separate"/>
      </w:r>
      <w:r>
        <w:rPr>
          <w:rStyle w:val="32"/>
          <w:rFonts w:hint="eastAsia"/>
          <w14:scene3d>
            <w14:lightRig w14:rig="threePt" w14:dir="t">
              <w14:rot w14:lat="0" w14:lon="0" w14:rev="0"/>
            </w14:lightRig>
          </w14:scene3d>
        </w:rPr>
        <w:t>6.3</w:t>
      </w:r>
      <w:r>
        <w:rPr>
          <w:rStyle w:val="32"/>
          <w14:scene3d>
            <w14:lightRig w14:rig="threePt" w14:dir="t">
              <w14:rot w14:lat="0" w14:lon="0" w14:rev="0"/>
            </w14:lightRig>
          </w14:scene3d>
        </w:rPr>
        <w:t xml:space="preserve"> </w:t>
      </w:r>
      <w:r>
        <w:rPr>
          <w:rStyle w:val="32"/>
          <w:rFonts w:hint="eastAsia"/>
        </w:rPr>
        <w:t xml:space="preserve"> 定位及数据处理</w:t>
      </w:r>
      <w:r>
        <w:rPr>
          <w:rFonts w:hint="eastAsia"/>
        </w:rPr>
        <w:tab/>
      </w:r>
      <w:r>
        <w:rPr>
          <w:rFonts w:hint="eastAsia"/>
        </w:rPr>
        <w:fldChar w:fldCharType="begin"/>
      </w:r>
      <w:r>
        <w:rPr>
          <w:rFonts w:hint="eastAsia"/>
        </w:rPr>
        <w:instrText xml:space="preserve"> </w:instrText>
      </w:r>
      <w:r>
        <w:instrText xml:space="preserve">PAGEREF _Toc178278191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"_Toc178278192" </w:instrText>
      </w:r>
      <w:r>
        <w:fldChar w:fldCharType="separate"/>
      </w:r>
      <w:r>
        <w:rPr>
          <w:rStyle w:val="32"/>
          <w:rFonts w:hint="eastAsia"/>
          <w14:scene3d>
            <w14:lightRig w14:rig="threePt" w14:dir="t">
              <w14:rot w14:lat="0" w14:lon="0" w14:rev="0"/>
            </w14:lightRig>
          </w14:scene3d>
        </w:rPr>
        <w:t>6.4</w:t>
      </w:r>
      <w:r>
        <w:rPr>
          <w:rStyle w:val="32"/>
          <w14:scene3d>
            <w14:lightRig w14:rig="threePt" w14:dir="t">
              <w14:rot w14:lat="0" w14:lon="0" w14:rev="0"/>
            </w14:lightRig>
          </w14:scene3d>
        </w:rPr>
        <w:t xml:space="preserve"> </w:t>
      </w:r>
      <w:r>
        <w:rPr>
          <w:rStyle w:val="32"/>
          <w:rFonts w:hint="eastAsia"/>
        </w:rPr>
        <w:t xml:space="preserve"> 点检</w:t>
      </w:r>
      <w:r>
        <w:rPr>
          <w:rFonts w:hint="eastAsia"/>
        </w:rPr>
        <w:tab/>
      </w:r>
      <w:r>
        <w:rPr>
          <w:rFonts w:hint="eastAsia"/>
        </w:rPr>
        <w:fldChar w:fldCharType="begin"/>
      </w:r>
      <w:r>
        <w:rPr>
          <w:rFonts w:hint="eastAsia"/>
        </w:rPr>
        <w:instrText xml:space="preserve"> </w:instrText>
      </w:r>
      <w:r>
        <w:instrText xml:space="preserve">PAGEREF _Toc178278192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"_Toc178278193" </w:instrText>
      </w:r>
      <w:r>
        <w:fldChar w:fldCharType="separate"/>
      </w:r>
      <w:r>
        <w:rPr>
          <w:rStyle w:val="32"/>
          <w:rFonts w:hint="eastAsia"/>
          <w14:scene3d>
            <w14:lightRig w14:rig="threePt" w14:dir="t">
              <w14:rot w14:lat="0" w14:lon="0" w14:rev="0"/>
            </w14:lightRig>
          </w14:scene3d>
        </w:rPr>
        <w:t>6.5</w:t>
      </w:r>
      <w:r>
        <w:rPr>
          <w:rStyle w:val="32"/>
          <w14:scene3d>
            <w14:lightRig w14:rig="threePt" w14:dir="t">
              <w14:rot w14:lat="0" w14:lon="0" w14:rev="0"/>
            </w14:lightRig>
          </w14:scene3d>
        </w:rPr>
        <w:t xml:space="preserve"> </w:t>
      </w:r>
      <w:r>
        <w:rPr>
          <w:rStyle w:val="32"/>
          <w:rFonts w:hint="eastAsia"/>
        </w:rPr>
        <w:t xml:space="preserve"> 作业人员安全警示教育</w:t>
      </w:r>
      <w:r>
        <w:rPr>
          <w:rFonts w:hint="eastAsia"/>
        </w:rPr>
        <w:tab/>
      </w:r>
      <w:r>
        <w:rPr>
          <w:rFonts w:hint="eastAsia"/>
        </w:rPr>
        <w:fldChar w:fldCharType="begin"/>
      </w:r>
      <w:r>
        <w:rPr>
          <w:rFonts w:hint="eastAsia"/>
        </w:rPr>
        <w:instrText xml:space="preserve"> </w:instrText>
      </w:r>
      <w:r>
        <w:instrText xml:space="preserve">PAGEREF _Toc178278193 \h</w:instrText>
      </w:r>
      <w:r>
        <w:rPr>
          <w:rFonts w:hint="eastAsia"/>
        </w:rPr>
        <w:instrText xml:space="preserve"> </w:instrText>
      </w:r>
      <w:r>
        <w:fldChar w:fldCharType="separate"/>
      </w:r>
      <w:r>
        <w:t>4</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"_Toc178278194" </w:instrText>
      </w:r>
      <w:r>
        <w:fldChar w:fldCharType="separate"/>
      </w:r>
      <w:r>
        <w:rPr>
          <w:rStyle w:val="32"/>
          <w:rFonts w:hint="eastAsia"/>
        </w:rPr>
        <w:t>7</w:t>
      </w:r>
      <w:r>
        <w:rPr>
          <w:rStyle w:val="32"/>
        </w:rPr>
        <w:t xml:space="preserve"> </w:t>
      </w:r>
      <w:r>
        <w:rPr>
          <w:rStyle w:val="32"/>
          <w:rFonts w:hint="eastAsia"/>
        </w:rPr>
        <w:t xml:space="preserve"> 场车大数据平台</w:t>
      </w:r>
      <w:r>
        <w:rPr>
          <w:rFonts w:hint="eastAsia"/>
        </w:rPr>
        <w:tab/>
      </w:r>
      <w:r>
        <w:rPr>
          <w:rFonts w:hint="eastAsia"/>
        </w:rPr>
        <w:fldChar w:fldCharType="begin"/>
      </w:r>
      <w:r>
        <w:rPr>
          <w:rFonts w:hint="eastAsia"/>
        </w:rPr>
        <w:instrText xml:space="preserve"> </w:instrText>
      </w:r>
      <w:r>
        <w:instrText xml:space="preserve">PAGEREF _Toc178278194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"_Toc178278195" </w:instrText>
      </w:r>
      <w:r>
        <w:fldChar w:fldCharType="separate"/>
      </w:r>
      <w:r>
        <w:rPr>
          <w:rStyle w:val="32"/>
          <w:rFonts w:hint="eastAsia"/>
          <w14:scene3d>
            <w14:lightRig w14:rig="threePt" w14:dir="t">
              <w14:rot w14:lat="0" w14:lon="0" w14:rev="0"/>
            </w14:lightRig>
          </w14:scene3d>
        </w:rPr>
        <w:t>7.1</w:t>
      </w:r>
      <w:r>
        <w:rPr>
          <w:rStyle w:val="32"/>
          <w14:scene3d>
            <w14:lightRig w14:rig="threePt" w14:dir="t">
              <w14:rot w14:lat="0" w14:lon="0" w14:rev="0"/>
            </w14:lightRig>
          </w14:scene3d>
        </w:rPr>
        <w:t xml:space="preserve"> </w:t>
      </w:r>
      <w:r>
        <w:rPr>
          <w:rStyle w:val="32"/>
          <w:rFonts w:hint="eastAsia"/>
        </w:rPr>
        <w:t xml:space="preserve"> 基本要求</w:t>
      </w:r>
      <w:r>
        <w:rPr>
          <w:rFonts w:hint="eastAsia"/>
        </w:rPr>
        <w:tab/>
      </w:r>
      <w:r>
        <w:rPr>
          <w:rFonts w:hint="eastAsia"/>
        </w:rPr>
        <w:fldChar w:fldCharType="begin"/>
      </w:r>
      <w:r>
        <w:rPr>
          <w:rFonts w:hint="eastAsia"/>
        </w:rPr>
        <w:instrText xml:space="preserve"> </w:instrText>
      </w:r>
      <w:r>
        <w:instrText xml:space="preserve">PAGEREF _Toc178278195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"_Toc178278196" </w:instrText>
      </w:r>
      <w:r>
        <w:fldChar w:fldCharType="separate"/>
      </w:r>
      <w:r>
        <w:rPr>
          <w:rStyle w:val="32"/>
          <w:rFonts w:hint="eastAsia"/>
          <w14:scene3d>
            <w14:lightRig w14:rig="threePt" w14:dir="t">
              <w14:rot w14:lat="0" w14:lon="0" w14:rev="0"/>
            </w14:lightRig>
          </w14:scene3d>
        </w:rPr>
        <w:t>7.2</w:t>
      </w:r>
      <w:r>
        <w:rPr>
          <w:rStyle w:val="32"/>
          <w14:scene3d>
            <w14:lightRig w14:rig="threePt" w14:dir="t">
              <w14:rot w14:lat="0" w14:lon="0" w14:rev="0"/>
            </w14:lightRig>
          </w14:scene3d>
        </w:rPr>
        <w:t xml:space="preserve"> </w:t>
      </w:r>
      <w:r>
        <w:rPr>
          <w:rStyle w:val="32"/>
          <w:rFonts w:hint="eastAsia"/>
        </w:rPr>
        <w:t xml:space="preserve"> 下发内容</w:t>
      </w:r>
      <w:r>
        <w:rPr>
          <w:rFonts w:hint="eastAsia"/>
        </w:rPr>
        <w:tab/>
      </w:r>
      <w:r>
        <w:rPr>
          <w:rFonts w:hint="eastAsia"/>
        </w:rPr>
        <w:fldChar w:fldCharType="begin"/>
      </w:r>
      <w:r>
        <w:rPr>
          <w:rFonts w:hint="eastAsia"/>
        </w:rPr>
        <w:instrText xml:space="preserve"> </w:instrText>
      </w:r>
      <w:r>
        <w:instrText xml:space="preserve">PAGEREF _Toc178278196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"_Toc178278197" </w:instrText>
      </w:r>
      <w:r>
        <w:fldChar w:fldCharType="separate"/>
      </w:r>
      <w:r>
        <w:rPr>
          <w:rStyle w:val="32"/>
          <w:rFonts w:hint="eastAsia"/>
          <w14:scene3d>
            <w14:lightRig w14:rig="threePt" w14:dir="t">
              <w14:rot w14:lat="0" w14:lon="0" w14:rev="0"/>
            </w14:lightRig>
          </w14:scene3d>
        </w:rPr>
        <w:t>7.3</w:t>
      </w:r>
      <w:r>
        <w:rPr>
          <w:rStyle w:val="32"/>
          <w14:scene3d>
            <w14:lightRig w14:rig="threePt" w14:dir="t">
              <w14:rot w14:lat="0" w14:lon="0" w14:rev="0"/>
            </w14:lightRig>
          </w14:scene3d>
        </w:rPr>
        <w:t xml:space="preserve"> </w:t>
      </w:r>
      <w:r>
        <w:rPr>
          <w:rStyle w:val="32"/>
          <w:rFonts w:hint="eastAsia"/>
        </w:rPr>
        <w:t xml:space="preserve"> 上报内容</w:t>
      </w:r>
      <w:r>
        <w:rPr>
          <w:rFonts w:hint="eastAsia"/>
        </w:rPr>
        <w:tab/>
      </w:r>
      <w:r>
        <w:rPr>
          <w:rFonts w:hint="eastAsia"/>
        </w:rPr>
        <w:fldChar w:fldCharType="begin"/>
      </w:r>
      <w:r>
        <w:rPr>
          <w:rFonts w:hint="eastAsia"/>
        </w:rPr>
        <w:instrText xml:space="preserve"> </w:instrText>
      </w:r>
      <w:r>
        <w:instrText xml:space="preserve">PAGEREF _Toc178278197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"_Toc178278198" </w:instrText>
      </w:r>
      <w:r>
        <w:fldChar w:fldCharType="separate"/>
      </w:r>
      <w:r>
        <w:rPr>
          <w:rStyle w:val="32"/>
          <w:rFonts w:hint="eastAsia"/>
        </w:rPr>
        <w:t>8</w:t>
      </w:r>
      <w:r>
        <w:rPr>
          <w:rStyle w:val="32"/>
        </w:rPr>
        <w:t xml:space="preserve"> </w:t>
      </w:r>
      <w:r>
        <w:rPr>
          <w:rStyle w:val="32"/>
          <w:rFonts w:hint="eastAsia"/>
        </w:rPr>
        <w:t xml:space="preserve"> 数据交互</w:t>
      </w:r>
      <w:r>
        <w:rPr>
          <w:rFonts w:hint="eastAsia"/>
        </w:rPr>
        <w:tab/>
      </w:r>
      <w:r>
        <w:rPr>
          <w:rFonts w:hint="eastAsia"/>
        </w:rPr>
        <w:fldChar w:fldCharType="begin"/>
      </w:r>
      <w:r>
        <w:rPr>
          <w:rFonts w:hint="eastAsia"/>
        </w:rPr>
        <w:instrText xml:space="preserve"> </w:instrText>
      </w:r>
      <w:r>
        <w:instrText xml:space="preserve">PAGEREF _Toc178278198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"_Toc178278199" </w:instrText>
      </w:r>
      <w:r>
        <w:fldChar w:fldCharType="separate"/>
      </w:r>
      <w:r>
        <w:rPr>
          <w:rStyle w:val="32"/>
          <w:rFonts w:hint="eastAsia"/>
          <w14:scene3d>
            <w14:lightRig w14:rig="threePt" w14:dir="t">
              <w14:rot w14:lat="0" w14:lon="0" w14:rev="0"/>
            </w14:lightRig>
          </w14:scene3d>
        </w:rPr>
        <w:t>8.1</w:t>
      </w:r>
      <w:r>
        <w:rPr>
          <w:rStyle w:val="32"/>
          <w14:scene3d>
            <w14:lightRig w14:rig="threePt" w14:dir="t">
              <w14:rot w14:lat="0" w14:lon="0" w14:rev="0"/>
            </w14:lightRig>
          </w14:scene3d>
        </w:rPr>
        <w:t xml:space="preserve"> </w:t>
      </w:r>
      <w:r>
        <w:rPr>
          <w:rStyle w:val="32"/>
          <w:rFonts w:hint="eastAsia"/>
        </w:rPr>
        <w:t xml:space="preserve"> 协议规范</w:t>
      </w:r>
      <w:r>
        <w:rPr>
          <w:rFonts w:hint="eastAsia"/>
        </w:rPr>
        <w:tab/>
      </w:r>
      <w:r>
        <w:rPr>
          <w:rFonts w:hint="eastAsia"/>
        </w:rPr>
        <w:fldChar w:fldCharType="begin"/>
      </w:r>
      <w:r>
        <w:rPr>
          <w:rFonts w:hint="eastAsia"/>
        </w:rPr>
        <w:instrText xml:space="preserve"> </w:instrText>
      </w:r>
      <w:r>
        <w:instrText xml:space="preserve">PAGEREF _Toc178278199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"_Toc178278200" </w:instrText>
      </w:r>
      <w:r>
        <w:fldChar w:fldCharType="separate"/>
      </w:r>
      <w:r>
        <w:rPr>
          <w:rStyle w:val="32"/>
          <w:rFonts w:hint="eastAsia"/>
        </w:rPr>
        <w:t>8.1.1</w:t>
      </w:r>
      <w:r>
        <w:rPr>
          <w:rStyle w:val="32"/>
        </w:rPr>
        <w:t xml:space="preserve"> </w:t>
      </w:r>
      <w:r>
        <w:rPr>
          <w:rStyle w:val="32"/>
          <w:rFonts w:hint="eastAsia"/>
        </w:rPr>
        <w:t xml:space="preserve"> 数据交互协议基础</w:t>
      </w:r>
      <w:r>
        <w:rPr>
          <w:rFonts w:hint="eastAsia"/>
        </w:rPr>
        <w:tab/>
      </w:r>
      <w:r>
        <w:rPr>
          <w:rFonts w:hint="eastAsia"/>
        </w:rPr>
        <w:fldChar w:fldCharType="begin"/>
      </w:r>
      <w:r>
        <w:rPr>
          <w:rFonts w:hint="eastAsia"/>
        </w:rPr>
        <w:instrText xml:space="preserve"> </w:instrText>
      </w:r>
      <w:r>
        <w:instrText xml:space="preserve">PAGEREF _Toc178278200 \h</w:instrText>
      </w:r>
      <w:r>
        <w:rPr>
          <w:rFonts w:hint="eastAsia"/>
        </w:rPr>
        <w:instrText xml:space="preserve"> </w:instrText>
      </w:r>
      <w:r>
        <w:fldChar w:fldCharType="separate"/>
      </w:r>
      <w:r>
        <w:t>5</w:t>
      </w:r>
      <w:r>
        <w:rPr>
          <w:rFonts w:hint="eastAsia"/>
        </w:rPr>
        <w:fldChar w:fldCharType="end"/>
      </w:r>
      <w:r>
        <w:rPr>
          <w:rFonts w:hint="eastAsia"/>
        </w:rPr>
        <w:fldChar w:fldCharType="end"/>
      </w:r>
    </w:p>
    <w:p>
      <w:pPr>
        <w:pStyle w:val="15"/>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"_Toc178278201" </w:instrText>
      </w:r>
      <w:r>
        <w:fldChar w:fldCharType="separate"/>
      </w:r>
      <w:r>
        <w:rPr>
          <w:rStyle w:val="32"/>
          <w:rFonts w:hint="eastAsia"/>
        </w:rPr>
        <w:t>8.1.2</w:t>
      </w:r>
      <w:r>
        <w:rPr>
          <w:rStyle w:val="32"/>
        </w:rPr>
        <w:t xml:space="preserve"> </w:t>
      </w:r>
      <w:r>
        <w:rPr>
          <w:rStyle w:val="32"/>
          <w:rFonts w:hint="eastAsia"/>
        </w:rPr>
        <w:t xml:space="preserve"> 基本协议内容</w:t>
      </w:r>
      <w:r>
        <w:rPr>
          <w:rFonts w:hint="eastAsia"/>
        </w:rPr>
        <w:tab/>
      </w:r>
      <w:r>
        <w:rPr>
          <w:rFonts w:hint="eastAsia"/>
        </w:rPr>
        <w:fldChar w:fldCharType="begin"/>
      </w:r>
      <w:r>
        <w:rPr>
          <w:rFonts w:hint="eastAsia"/>
        </w:rPr>
        <w:instrText xml:space="preserve"> </w:instrText>
      </w:r>
      <w:r>
        <w:instrText xml:space="preserve">PAGEREF _Toc178278201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"_Toc178278202" </w:instrText>
      </w:r>
      <w:r>
        <w:fldChar w:fldCharType="separate"/>
      </w:r>
      <w:r>
        <w:rPr>
          <w:rStyle w:val="32"/>
          <w:rFonts w:hint="eastAsia"/>
          <w14:scene3d>
            <w14:lightRig w14:rig="threePt" w14:dir="t">
              <w14:rot w14:lat="0" w14:lon="0" w14:rev="0"/>
            </w14:lightRig>
          </w14:scene3d>
        </w:rPr>
        <w:t>8.2</w:t>
      </w:r>
      <w:r>
        <w:rPr>
          <w:rStyle w:val="32"/>
          <w14:scene3d>
            <w14:lightRig w14:rig="threePt" w14:dir="t">
              <w14:rot w14:lat="0" w14:lon="0" w14:rev="0"/>
            </w14:lightRig>
          </w14:scene3d>
        </w:rPr>
        <w:t xml:space="preserve"> </w:t>
      </w:r>
      <w:r>
        <w:rPr>
          <w:rStyle w:val="32"/>
          <w:rFonts w:hint="eastAsia"/>
        </w:rPr>
        <w:t xml:space="preserve"> 数据传输要求</w:t>
      </w:r>
      <w:r>
        <w:rPr>
          <w:rFonts w:hint="eastAsia"/>
        </w:rPr>
        <w:tab/>
      </w:r>
      <w:r>
        <w:rPr>
          <w:rFonts w:hint="eastAsia"/>
        </w:rPr>
        <w:fldChar w:fldCharType="begin"/>
      </w:r>
      <w:r>
        <w:rPr>
          <w:rFonts w:hint="eastAsia"/>
        </w:rPr>
        <w:instrText xml:space="preserve"> </w:instrText>
      </w:r>
      <w:r>
        <w:instrText xml:space="preserve">PAGEREF _Toc178278202 \h</w:instrText>
      </w:r>
      <w:r>
        <w:rPr>
          <w:rFonts w:hint="eastAsia"/>
        </w:rPr>
        <w:instrText xml:space="preserve"> </w:instrText>
      </w:r>
      <w:r>
        <w:fldChar w:fldCharType="separate"/>
      </w:r>
      <w:r>
        <w:t>6</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"_Toc178278203" </w:instrText>
      </w:r>
      <w:r>
        <w:fldChar w:fldCharType="separate"/>
      </w:r>
      <w:r>
        <w:rPr>
          <w:rStyle w:val="32"/>
          <w:rFonts w:hint="eastAsia"/>
        </w:rPr>
        <w:t>9</w:t>
      </w:r>
      <w:r>
        <w:rPr>
          <w:rStyle w:val="32"/>
        </w:rPr>
        <w:t xml:space="preserve"> </w:t>
      </w:r>
      <w:r>
        <w:rPr>
          <w:rStyle w:val="32"/>
          <w:rFonts w:hint="eastAsia"/>
        </w:rPr>
        <w:t xml:space="preserve"> 数据安全</w:t>
      </w:r>
      <w:r>
        <w:rPr>
          <w:rFonts w:hint="eastAsia"/>
        </w:rPr>
        <w:tab/>
      </w:r>
      <w:r>
        <w:rPr>
          <w:rFonts w:hint="eastAsia"/>
        </w:rPr>
        <w:fldChar w:fldCharType="begin"/>
      </w:r>
      <w:r>
        <w:rPr>
          <w:rFonts w:hint="eastAsia"/>
        </w:rPr>
        <w:instrText xml:space="preserve"> </w:instrText>
      </w:r>
      <w:r>
        <w:instrText xml:space="preserve">PAGEREF _Toc178278203 \h</w:instrText>
      </w:r>
      <w:r>
        <w:rPr>
          <w:rFonts w:hint="eastAsia"/>
        </w:rPr>
        <w:instrText xml:space="preserve"> </w:instrText>
      </w:r>
      <w:r>
        <w:fldChar w:fldCharType="separate"/>
      </w:r>
      <w:r>
        <w:t>7</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"_Toc178278204" </w:instrText>
      </w:r>
      <w:r>
        <w:fldChar w:fldCharType="separate"/>
      </w:r>
      <w:r>
        <w:rPr>
          <w:rStyle w:val="32"/>
          <w:rFonts w:hint="eastAsia"/>
          <w14:scene3d>
            <w14:lightRig w14:rig="threePt" w14:dir="t">
              <w14:rot w14:lat="0" w14:lon="0" w14:rev="0"/>
            </w14:lightRig>
          </w14:scene3d>
        </w:rPr>
        <w:t>9.1</w:t>
      </w:r>
      <w:r>
        <w:rPr>
          <w:rStyle w:val="32"/>
          <w14:scene3d>
            <w14:lightRig w14:rig="threePt" w14:dir="t">
              <w14:rot w14:lat="0" w14:lon="0" w14:rev="0"/>
            </w14:lightRig>
          </w14:scene3d>
        </w:rPr>
        <w:t xml:space="preserve"> </w:t>
      </w:r>
      <w:r>
        <w:rPr>
          <w:rStyle w:val="32"/>
          <w:rFonts w:hint="eastAsia"/>
        </w:rPr>
        <w:t xml:space="preserve"> 风险识别和风险管控</w:t>
      </w:r>
      <w:r>
        <w:rPr>
          <w:rFonts w:hint="eastAsia"/>
        </w:rPr>
        <w:tab/>
      </w:r>
      <w:r>
        <w:rPr>
          <w:rFonts w:hint="eastAsia"/>
        </w:rPr>
        <w:fldChar w:fldCharType="begin"/>
      </w:r>
      <w:r>
        <w:rPr>
          <w:rFonts w:hint="eastAsia"/>
        </w:rPr>
        <w:instrText xml:space="preserve"> </w:instrText>
      </w:r>
      <w:r>
        <w:instrText xml:space="preserve">PAGEREF _Toc178278204 \h</w:instrText>
      </w:r>
      <w:r>
        <w:rPr>
          <w:rFonts w:hint="eastAsia"/>
        </w:rPr>
        <w:instrText xml:space="preserve"> </w:instrText>
      </w:r>
      <w:r>
        <w:fldChar w:fldCharType="separate"/>
      </w:r>
      <w:r>
        <w:t>7</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"_Toc178278205" </w:instrText>
      </w:r>
      <w:r>
        <w:fldChar w:fldCharType="separate"/>
      </w:r>
      <w:r>
        <w:rPr>
          <w:rStyle w:val="32"/>
          <w:rFonts w:hint="eastAsia"/>
          <w14:scene3d>
            <w14:lightRig w14:rig="threePt" w14:dir="t">
              <w14:rot w14:lat="0" w14:lon="0" w14:rev="0"/>
            </w14:lightRig>
          </w14:scene3d>
        </w:rPr>
        <w:t>9.2</w:t>
      </w:r>
      <w:r>
        <w:rPr>
          <w:rStyle w:val="32"/>
          <w14:scene3d>
            <w14:lightRig w14:rig="threePt" w14:dir="t">
              <w14:rot w14:lat="0" w14:lon="0" w14:rev="0"/>
            </w14:lightRig>
          </w14:scene3d>
        </w:rPr>
        <w:t xml:space="preserve"> </w:t>
      </w:r>
      <w:r>
        <w:rPr>
          <w:rStyle w:val="32"/>
          <w:rFonts w:hint="eastAsia"/>
        </w:rPr>
        <w:t xml:space="preserve"> 传输与存储安全</w:t>
      </w:r>
      <w:r>
        <w:rPr>
          <w:rFonts w:hint="eastAsia"/>
        </w:rPr>
        <w:tab/>
      </w:r>
      <w:r>
        <w:rPr>
          <w:rFonts w:hint="eastAsia"/>
        </w:rPr>
        <w:fldChar w:fldCharType="begin"/>
      </w:r>
      <w:r>
        <w:rPr>
          <w:rFonts w:hint="eastAsia"/>
        </w:rPr>
        <w:instrText xml:space="preserve"> </w:instrText>
      </w:r>
      <w:r>
        <w:instrText xml:space="preserve">PAGEREF _Toc178278205 \h</w:instrText>
      </w:r>
      <w:r>
        <w:rPr>
          <w:rFonts w:hint="eastAsia"/>
        </w:rPr>
        <w:instrText xml:space="preserve"> </w:instrText>
      </w:r>
      <w:r>
        <w:fldChar w:fldCharType="separate"/>
      </w:r>
      <w:r>
        <w:t>7</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"_Toc178278206" </w:instrText>
      </w:r>
      <w:r>
        <w:fldChar w:fldCharType="separate"/>
      </w:r>
      <w:r>
        <w:rPr>
          <w:rStyle w:val="32"/>
          <w:rFonts w:hint="eastAsia"/>
        </w:rPr>
        <w:t>10</w:t>
      </w:r>
      <w:r>
        <w:rPr>
          <w:rStyle w:val="32"/>
        </w:rPr>
        <w:t xml:space="preserve"> </w:t>
      </w:r>
      <w:r>
        <w:rPr>
          <w:rStyle w:val="32"/>
          <w:rFonts w:hint="eastAsia"/>
        </w:rPr>
        <w:t xml:space="preserve"> 评价验证方法</w:t>
      </w:r>
      <w:r>
        <w:rPr>
          <w:rFonts w:hint="eastAsia"/>
        </w:rPr>
        <w:tab/>
      </w:r>
      <w:r>
        <w:rPr>
          <w:rFonts w:hint="eastAsia"/>
        </w:rPr>
        <w:fldChar w:fldCharType="begin"/>
      </w:r>
      <w:r>
        <w:rPr>
          <w:rFonts w:hint="eastAsia"/>
        </w:rPr>
        <w:instrText xml:space="preserve"> </w:instrText>
      </w:r>
      <w:r>
        <w:instrText xml:space="preserve">PAGEREF _Toc178278206 \h</w:instrText>
      </w:r>
      <w:r>
        <w:rPr>
          <w:rFonts w:hint="eastAsia"/>
        </w:rPr>
        <w:instrText xml:space="preserve"> </w:instrText>
      </w:r>
      <w:r>
        <w:fldChar w:fldCharType="separate"/>
      </w:r>
      <w:r>
        <w:t>7</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"_Toc178278207" </w:instrText>
      </w:r>
      <w:r>
        <w:fldChar w:fldCharType="separate"/>
      </w:r>
      <w:r>
        <w:rPr>
          <w:rStyle w:val="32"/>
          <w:rFonts w:hint="eastAsia"/>
        </w:rPr>
        <w:t>参考文献</w:t>
      </w:r>
      <w:r>
        <w:rPr>
          <w:rFonts w:hint="eastAsia"/>
        </w:rPr>
        <w:tab/>
      </w:r>
      <w:r>
        <w:rPr>
          <w:rFonts w:hint="eastAsia"/>
        </w:rPr>
        <w:fldChar w:fldCharType="begin"/>
      </w:r>
      <w:r>
        <w:rPr>
          <w:rFonts w:hint="eastAsia"/>
        </w:rPr>
        <w:instrText xml:space="preserve"> </w:instrText>
      </w:r>
      <w:r>
        <w:instrText xml:space="preserve">PAGEREF _Toc178278207 \h</w:instrText>
      </w:r>
      <w:r>
        <w:rPr>
          <w:rFonts w:hint="eastAsia"/>
        </w:rPr>
        <w:instrText xml:space="preserve"> </w:instrText>
      </w:r>
      <w:r>
        <w:fldChar w:fldCharType="separate"/>
      </w:r>
      <w:r>
        <w:t>9</w:t>
      </w:r>
      <w:r>
        <w:rPr>
          <w:rFonts w:hint="eastAsia"/>
        </w:rPr>
        <w:fldChar w:fldCharType="end"/>
      </w:r>
      <w:r>
        <w:rPr>
          <w:rFonts w:hint="eastAsia"/>
        </w:rPr>
        <w:fldChar w:fldCharType="end"/>
      </w:r>
    </w:p>
    <w:p>
      <w:pPr>
        <w:pStyle w:val="91"/>
        <w:spacing w:after="468"/>
      </w:pPr>
      <w:r>
        <w:fldChar w:fldCharType="end"/>
      </w:r>
    </w:p>
    <w:p>
      <w:pPr>
        <w:pStyle w:val="91"/>
        <w:spacing w:after="468"/>
      </w:pPr>
    </w:p>
    <w:p>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21"/>
    <w:p>
      <w:pPr>
        <w:pStyle w:val="89"/>
        <w:spacing w:after="468"/>
      </w:pPr>
      <w:bookmarkStart w:id="23" w:name="_Toc178278177"/>
      <w:bookmarkStart w:id="24" w:name="BookMark2"/>
      <w:r>
        <w:rPr>
          <w:rFonts w:hint="eastAsia"/>
          <w:spacing w:val="320"/>
        </w:rPr>
        <w:t>前</w:t>
      </w:r>
      <w:r>
        <w:rPr>
          <w:rFonts w:hint="eastAsia"/>
        </w:rPr>
        <w:t>言</w:t>
      </w:r>
      <w:bookmarkEnd w:id="22"/>
      <w:bookmarkEnd w:id="23"/>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rPr>
          <w:rFonts w:hint="eastAsia" w:eastAsia="宋体"/>
          <w:lang w:eastAsia="zh-CN"/>
        </w:rPr>
      </w:pPr>
      <w:r>
        <w:rPr>
          <w:rFonts w:hint="eastAsia"/>
        </w:rPr>
        <w:t>本文件由江苏省市场监督管理局提出</w:t>
      </w:r>
      <w:r>
        <w:rPr>
          <w:rFonts w:hint="eastAsia"/>
          <w:lang w:eastAsia="zh-CN"/>
        </w:rPr>
        <w:t>并监督实施。</w:t>
      </w:r>
    </w:p>
    <w:p>
      <w:pPr>
        <w:pStyle w:val="56"/>
        <w:ind w:firstLine="420"/>
      </w:pPr>
      <w:r>
        <w:rPr>
          <w:rFonts w:hint="eastAsia"/>
          <w:lang w:eastAsia="zh-CN"/>
        </w:rPr>
        <w:t>本文件由江苏省特种设备安全检验与节能标准化委员会</w:t>
      </w:r>
      <w:r>
        <w:rPr>
          <w:rFonts w:hint="eastAsia"/>
        </w:rPr>
        <w:t>归口。</w:t>
      </w:r>
    </w:p>
    <w:p>
      <w:pPr>
        <w:pStyle w:val="56"/>
        <w:ind w:firstLine="420"/>
      </w:pPr>
      <w:r>
        <w:rPr>
          <w:rFonts w:hint="eastAsia"/>
        </w:rPr>
        <w:t>本文件起草单位：江苏省特种设备安全监督检验研究院、中博信息技术研究院有限公司、南京市特种设备安全监督检验研究院。</w:t>
      </w:r>
    </w:p>
    <w:p>
      <w:pPr>
        <w:pStyle w:val="56"/>
        <w:ind w:firstLine="420"/>
      </w:pPr>
      <w:r>
        <w:rPr>
          <w:rFonts w:hint="eastAsia"/>
        </w:rPr>
        <w:t>本文件主要起草人：王毅、王月新、赵彬、李向东、顾旭波、甘晶、张新东、孙民、徐峰、涂春磊、周超、张燕超、陈序、</w:t>
      </w:r>
      <w:r>
        <w:rPr>
          <w:rFonts w:hint="eastAsia"/>
          <w:lang w:eastAsia="zh-CN"/>
        </w:rPr>
        <w:t>荚佳、</w:t>
      </w:r>
      <w:r>
        <w:rPr>
          <w:rFonts w:hint="eastAsia"/>
        </w:rPr>
        <w:t>李明、邬宇、孙健、王宏、李强、王小燕、卢德俊、周洲、刘宗斌、施晓江、赵杰、高蔚、田小丹、钱明铨、陈洪良、顾浩、陈诚、于栋、赵梓为、张金才、尹浩、唐潇璐</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hint="eastAsia" w:ascii="黑体" w:hAnsi="黑体" w:eastAsia="黑体"/>
          <w:sz w:val="32"/>
          <w:szCs w:val="32"/>
        </w:rPr>
      </w:pPr>
      <w:bookmarkStart w:id="25"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92FD14D919994851AA98777B6D607BAC"/>
        </w:placeholder>
      </w:sdtPr>
      <w:sdtContent>
        <w:p>
          <w:pPr>
            <w:pStyle w:val="177"/>
            <w:spacing w:before="3" w:beforeLines="1" w:after="686" w:afterLines="220"/>
            <w:rPr>
              <w:rFonts w:hint="eastAsia"/>
            </w:rPr>
          </w:pPr>
          <w:bookmarkStart w:id="26" w:name="NEW_STAND_NAME"/>
          <w:r>
            <w:rPr>
              <w:rFonts w:hint="eastAsia"/>
            </w:rPr>
            <w:t>场（厂）内专用机动车辆智慧安全监管系统通用技术要求</w:t>
          </w:r>
        </w:p>
      </w:sdtContent>
    </w:sdt>
    <w:bookmarkEnd w:id="26"/>
    <w:p>
      <w:pPr>
        <w:pStyle w:val="104"/>
        <w:spacing w:before="312" w:after="312"/>
      </w:pPr>
      <w:bookmarkStart w:id="27" w:name="_Toc97191423"/>
      <w:bookmarkStart w:id="28" w:name="_Toc26986530"/>
      <w:bookmarkStart w:id="29" w:name="_Toc17233333"/>
      <w:bookmarkStart w:id="30" w:name="_Toc177510363"/>
      <w:bookmarkStart w:id="31" w:name="_Toc26648465"/>
      <w:bookmarkStart w:id="32" w:name="_Toc177512216"/>
      <w:bookmarkStart w:id="33" w:name="_Toc178278124"/>
      <w:bookmarkStart w:id="34" w:name="_Toc17233325"/>
      <w:bookmarkStart w:id="35" w:name="_Toc26986771"/>
      <w:bookmarkStart w:id="36" w:name="_Toc26718930"/>
      <w:bookmarkStart w:id="37" w:name="_Toc24884218"/>
      <w:bookmarkStart w:id="38" w:name="_Toc12516"/>
      <w:bookmarkStart w:id="39" w:name="_Toc24884211"/>
      <w:bookmarkStart w:id="40" w:name="_Toc178278178"/>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56"/>
        <w:ind w:firstLine="420"/>
      </w:pPr>
      <w:bookmarkStart w:id="41" w:name="_Toc24884212"/>
      <w:bookmarkStart w:id="42" w:name="_Toc24884219"/>
      <w:bookmarkStart w:id="43" w:name="_Toc26648466"/>
      <w:bookmarkStart w:id="44" w:name="_Toc17233334"/>
      <w:bookmarkStart w:id="45" w:name="_Toc17233326"/>
      <w:r>
        <w:rPr>
          <w:rFonts w:hint="eastAsia"/>
        </w:rPr>
        <w:t>本文件规定了江苏省场（厂）内专用机动车辆智慧安全监管系统的整体架构及建设要求、数据交互、数据安全要求和评价验证方法等方面相关内容。</w:t>
      </w:r>
    </w:p>
    <w:p>
      <w:pPr>
        <w:pStyle w:val="56"/>
        <w:ind w:firstLine="420"/>
      </w:pPr>
      <w:r>
        <w:rPr>
          <w:rFonts w:hint="eastAsia"/>
        </w:rPr>
        <w:t>本文件适用于江苏省场（厂）内专用机动车辆智慧安全监管系统的建设和运行。本文件不适用于具有防爆功能的叉车。</w:t>
      </w:r>
    </w:p>
    <w:p>
      <w:pPr>
        <w:pStyle w:val="104"/>
        <w:spacing w:before="312" w:after="312"/>
      </w:pPr>
      <w:bookmarkStart w:id="46" w:name="_Toc178278125"/>
      <w:bookmarkStart w:id="47" w:name="_Toc97191424"/>
      <w:bookmarkStart w:id="48" w:name="_Toc26718931"/>
      <w:bookmarkStart w:id="49" w:name="_Toc26986531"/>
      <w:bookmarkStart w:id="50" w:name="_Toc178278179"/>
      <w:bookmarkStart w:id="51" w:name="_Toc177512217"/>
      <w:bookmarkStart w:id="52" w:name="_Toc16935"/>
      <w:bookmarkStart w:id="53" w:name="_Toc177510364"/>
      <w:bookmarkStart w:id="54" w:name="_Toc26986772"/>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BA3991C2FE0149238398BBB94751B96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15127  信息技术 系统间远程通信和信息交换  双扭线多点互联</w:t>
      </w:r>
    </w:p>
    <w:p>
      <w:pPr>
        <w:pStyle w:val="56"/>
        <w:ind w:firstLine="420"/>
      </w:pPr>
      <w:r>
        <w:rPr>
          <w:rFonts w:hint="eastAsia"/>
        </w:rPr>
        <w:t>GB/T 15706  机械安全 设计通则 风险评估与风险减小</w:t>
      </w:r>
    </w:p>
    <w:p>
      <w:pPr>
        <w:pStyle w:val="56"/>
        <w:ind w:firstLine="420"/>
      </w:pPr>
      <w:r>
        <w:rPr>
          <w:rFonts w:hint="eastAsia"/>
        </w:rPr>
        <w:t>GB/T 16754  机械安全 急停功能设计原则</w:t>
      </w:r>
    </w:p>
    <w:p>
      <w:pPr>
        <w:pStyle w:val="56"/>
        <w:ind w:firstLine="420"/>
      </w:pPr>
      <w:r>
        <w:rPr>
          <w:rFonts w:hint="eastAsia"/>
        </w:rPr>
        <w:t>GB/T 38893  工业车辆  安全监控管理系统</w:t>
      </w:r>
    </w:p>
    <w:p>
      <w:pPr>
        <w:pStyle w:val="104"/>
        <w:spacing w:before="312" w:after="312"/>
      </w:pPr>
      <w:bookmarkStart w:id="55" w:name="_Toc97191425"/>
      <w:bookmarkStart w:id="56" w:name="_Toc16682"/>
      <w:bookmarkStart w:id="57" w:name="_Toc177510365"/>
      <w:bookmarkStart w:id="58" w:name="_Toc177512218"/>
      <w:bookmarkStart w:id="59" w:name="_Toc178278126"/>
      <w:bookmarkStart w:id="60" w:name="_Toc178278180"/>
      <w:r>
        <w:rPr>
          <w:rFonts w:hint="eastAsia"/>
          <w:szCs w:val="21"/>
        </w:rPr>
        <w:t>术语和定义</w:t>
      </w:r>
      <w:bookmarkEnd w:id="55"/>
      <w:bookmarkEnd w:id="56"/>
      <w:bookmarkEnd w:id="57"/>
      <w:bookmarkEnd w:id="58"/>
      <w:bookmarkEnd w:id="59"/>
      <w:bookmarkEnd w:id="60"/>
    </w:p>
    <w:sdt>
      <w:sdtPr>
        <w:id w:val="-1909835108"/>
        <w:placeholder>
          <w:docPart w:val="A7FC27A14B004DB59F1EC1E26B5DB59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61" w:name="_Toc26986532"/>
          <w:bookmarkEnd w:id="61"/>
          <w:r>
            <w:rPr>
              <w:rFonts w:hint="eastAsia"/>
            </w:rPr>
            <w:t>GB/T 15127、GB/T 15706、GB/T 16754和GB/T 38893</w:t>
          </w:r>
          <w:r>
            <w:t>界定的以及下列术语和定义适用于本文件。</w:t>
          </w:r>
        </w:p>
      </w:sdtContent>
    </w:sdt>
    <w:p>
      <w:pPr>
        <w:pStyle w:val="223"/>
        <w:ind w:left="420" w:hanging="420" w:hangingChars="200"/>
        <w:rPr>
          <w:rFonts w:hint="eastAsia" w:ascii="黑体" w:hAnsi="黑体" w:eastAsia="黑体"/>
        </w:rPr>
      </w:pPr>
    </w:p>
    <w:p>
      <w:pPr>
        <w:pStyle w:val="223"/>
        <w:numPr>
          <w:ilvl w:val="2"/>
          <w:numId w:val="0"/>
        </w:numPr>
        <w:ind w:left="-420" w:leftChars="-200" w:firstLine="840" w:firstLineChars="400"/>
        <w:rPr>
          <w:rFonts w:hint="eastAsia" w:ascii="黑体" w:hAnsi="黑体" w:eastAsia="黑体"/>
        </w:rPr>
      </w:pPr>
      <w:r>
        <w:rPr>
          <w:rFonts w:hint="eastAsia" w:ascii="黑体" w:hAnsi="黑体" w:eastAsia="黑体"/>
        </w:rPr>
        <w:t>场（厂）内专用机动车辆  special purpose motor vehicles in special fields</w:t>
      </w:r>
    </w:p>
    <w:p>
      <w:pPr>
        <w:pStyle w:val="56"/>
        <w:ind w:firstLine="420"/>
      </w:pPr>
      <w:r>
        <w:rPr>
          <w:rFonts w:hint="eastAsia"/>
        </w:rPr>
        <w:t>除道路交通、农用车辆以外仅在工厂厂区、旅游景区、游乐场所等特定区域使用的专用机动车辆，包括叉车和非公路用旅游观光车辆。</w:t>
      </w:r>
    </w:p>
    <w:p>
      <w:pPr>
        <w:pStyle w:val="223"/>
        <w:ind w:left="420" w:hanging="420" w:hangingChars="200"/>
        <w:rPr>
          <w:rFonts w:hint="eastAsia" w:ascii="黑体" w:hAnsi="黑体" w:eastAsia="黑体"/>
        </w:rPr>
      </w:pPr>
    </w:p>
    <w:p>
      <w:pPr>
        <w:pStyle w:val="223"/>
        <w:numPr>
          <w:ilvl w:val="2"/>
          <w:numId w:val="0"/>
        </w:numPr>
        <w:ind w:left="-420" w:leftChars="-200" w:firstLine="840" w:firstLineChars="400"/>
        <w:rPr>
          <w:rFonts w:hint="eastAsia" w:ascii="黑体" w:hAnsi="黑体" w:eastAsia="黑体"/>
        </w:rPr>
      </w:pPr>
      <w:r>
        <w:rPr>
          <w:rFonts w:hint="eastAsia" w:ascii="黑体" w:hAnsi="黑体" w:eastAsia="黑体"/>
        </w:rPr>
        <w:t>物联设备 internet of things device; IoT device</w:t>
      </w:r>
    </w:p>
    <w:p>
      <w:pPr>
        <w:pStyle w:val="56"/>
        <w:ind w:firstLine="420"/>
      </w:pPr>
      <w:r>
        <w:rPr>
          <w:rFonts w:hint="eastAsia"/>
        </w:rPr>
        <w:t>通过网络连接和通信技术与互联网相连的各种物理设备安装在场车上。它们可以收集、传输和共享数据，实现场车各种功能以及设备之间的互联互通，并具备一定的存储功能。</w:t>
      </w:r>
    </w:p>
    <w:p>
      <w:pPr>
        <w:pStyle w:val="223"/>
        <w:ind w:left="420" w:hanging="420" w:hangingChars="200"/>
        <w:rPr>
          <w:rFonts w:hint="eastAsia" w:ascii="黑体" w:hAnsi="黑体" w:eastAsia="黑体"/>
        </w:rPr>
      </w:pPr>
    </w:p>
    <w:p>
      <w:pPr>
        <w:pStyle w:val="223"/>
        <w:numPr>
          <w:ilvl w:val="2"/>
          <w:numId w:val="0"/>
        </w:numPr>
        <w:ind w:left="420" w:leftChars="200"/>
        <w:rPr>
          <w:rFonts w:hint="eastAsia" w:ascii="黑体" w:hAnsi="黑体" w:eastAsia="黑体"/>
        </w:rPr>
      </w:pPr>
      <w:r>
        <w:rPr>
          <w:rFonts w:hint="eastAsia" w:ascii="黑体" w:hAnsi="黑体" w:eastAsia="黑体"/>
        </w:rPr>
        <w:t>场车智慧管理大数据平台 big data platform of intelligent management for special field vehicles</w:t>
      </w:r>
    </w:p>
    <w:p>
      <w:pPr>
        <w:pStyle w:val="56"/>
        <w:ind w:firstLine="420"/>
      </w:pPr>
      <w:r>
        <w:rPr>
          <w:rFonts w:hint="eastAsia"/>
        </w:rPr>
        <w:t>由江苏省市场监督管理局建立的,接收场车智慧管理应用系统传输的场车远程监控数据，并对数据进行统一管理的平台。</w:t>
      </w:r>
    </w:p>
    <w:p>
      <w:pPr>
        <w:pStyle w:val="223"/>
        <w:ind w:left="420" w:hanging="420" w:hangingChars="200"/>
        <w:rPr>
          <w:rFonts w:hint="eastAsia" w:ascii="黑体" w:hAnsi="黑体" w:eastAsia="黑体"/>
        </w:rPr>
      </w:pPr>
    </w:p>
    <w:p>
      <w:pPr>
        <w:pStyle w:val="223"/>
        <w:numPr>
          <w:ilvl w:val="2"/>
          <w:numId w:val="0"/>
        </w:numPr>
        <w:ind w:left="420" w:leftChars="200"/>
        <w:rPr>
          <w:rFonts w:hint="eastAsia" w:ascii="黑体" w:hAnsi="黑体" w:eastAsia="黑体"/>
        </w:rPr>
      </w:pPr>
      <w:r>
        <w:rPr>
          <w:rFonts w:hint="eastAsia" w:ascii="黑体" w:hAnsi="黑体" w:eastAsia="黑体"/>
        </w:rPr>
        <w:t>场车智慧管理应用系统 intelligent management application system for special field vehicles</w:t>
      </w:r>
    </w:p>
    <w:p>
      <w:pPr>
        <w:pStyle w:val="56"/>
        <w:ind w:firstLine="420"/>
      </w:pPr>
      <w:r>
        <w:rPr>
          <w:rFonts w:hint="eastAsia"/>
        </w:rPr>
        <w:t>由企业组织建设的采集和管理场车及物联设备数据的管理应用系统,对场车和物联设备上的监控数据进行直接采集和管理，并向大数据平台进行数据传输的平台。</w:t>
      </w:r>
    </w:p>
    <w:p>
      <w:pPr>
        <w:pStyle w:val="104"/>
        <w:spacing w:before="312" w:after="312"/>
      </w:pPr>
      <w:bookmarkStart w:id="62" w:name="_Toc177510366"/>
      <w:bookmarkStart w:id="63" w:name="_Toc178278127"/>
      <w:bookmarkStart w:id="64" w:name="_Toc14767"/>
      <w:bookmarkStart w:id="65" w:name="_Toc177512219"/>
      <w:bookmarkStart w:id="66" w:name="_Toc178278181"/>
      <w:r>
        <w:rPr>
          <w:rFonts w:hint="eastAsia"/>
        </w:rPr>
        <w:t>整体架构及建设要求</w:t>
      </w:r>
      <w:bookmarkEnd w:id="62"/>
      <w:bookmarkEnd w:id="63"/>
      <w:bookmarkEnd w:id="64"/>
      <w:bookmarkEnd w:id="65"/>
      <w:bookmarkEnd w:id="66"/>
    </w:p>
    <w:p>
      <w:pPr>
        <w:pStyle w:val="162"/>
      </w:pPr>
      <w:r>
        <w:rPr>
          <w:rFonts w:hint="eastAsia"/>
        </w:rPr>
        <w:t>场（厂）内专用机动车辆（以下简称“场车”）智慧安全监管系统应由场车智慧管理大数据平台（以下简称“大数据平台”）、各场车智慧管理应用系统（以下简称“应用系统”）、物联设备和场车组成。系统架构应符合图1的规定。</w:t>
      </w:r>
    </w:p>
    <w:p>
      <w:pPr>
        <w:pStyle w:val="162"/>
        <w:numPr>
          <w:ilvl w:val="0"/>
          <w:numId w:val="0"/>
        </w:numPr>
      </w:pPr>
      <w:r>
        <w:drawing>
          <wp:inline distT="0" distB="0" distL="0" distR="0">
            <wp:extent cx="6228080" cy="3499485"/>
            <wp:effectExtent l="0" t="0" r="7620" b="5715"/>
            <wp:docPr id="11924787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478722"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6228080" cy="3499485"/>
                    </a:xfrm>
                    <a:prstGeom prst="rect">
                      <a:avLst/>
                    </a:prstGeom>
                    <a:noFill/>
                  </pic:spPr>
                </pic:pic>
              </a:graphicData>
            </a:graphic>
          </wp:inline>
        </w:drawing>
      </w:r>
    </w:p>
    <w:p>
      <w:pPr>
        <w:pStyle w:val="114"/>
        <w:spacing w:before="156" w:after="156"/>
      </w:pPr>
      <w:r>
        <w:rPr>
          <w:rFonts w:hint="eastAsia"/>
        </w:rPr>
        <w:t>系统架构</w:t>
      </w:r>
    </w:p>
    <w:p>
      <w:pPr>
        <w:pStyle w:val="162"/>
      </w:pPr>
      <w:r>
        <w:rPr>
          <w:rFonts w:hint="eastAsia"/>
        </w:rPr>
        <w:t>场车智慧管理大数据平台应经省级特种设备监督管理部门确认后使用。</w:t>
      </w:r>
    </w:p>
    <w:p>
      <w:pPr>
        <w:pStyle w:val="162"/>
      </w:pPr>
      <w:r>
        <w:rPr>
          <w:rFonts w:hint="eastAsia"/>
        </w:rPr>
        <w:t>各场车智慧管理应用系统开发商应具有相应的资质，并具备持续运行维护系统的能力。</w:t>
      </w:r>
    </w:p>
    <w:p>
      <w:pPr>
        <w:pStyle w:val="162"/>
      </w:pPr>
      <w:r>
        <w:rPr>
          <w:rFonts w:hint="eastAsia"/>
        </w:rPr>
        <w:t>各场车智慧管理应用系统应经过评价确认，评价机构应具备江苏省场（厂）内专用机动车辆检验检测机构核准资格。</w:t>
      </w:r>
    </w:p>
    <w:p>
      <w:pPr>
        <w:pStyle w:val="162"/>
      </w:pPr>
      <w:r>
        <w:rPr>
          <w:rFonts w:hint="eastAsia"/>
        </w:rPr>
        <w:t>物联设备应符合GB/T 38893的相关规定。</w:t>
      </w:r>
    </w:p>
    <w:p>
      <w:pPr>
        <w:pStyle w:val="104"/>
        <w:spacing w:before="312" w:after="312"/>
      </w:pPr>
      <w:bookmarkStart w:id="67" w:name="_Toc178278128"/>
      <w:bookmarkStart w:id="68" w:name="_Toc177510367"/>
      <w:bookmarkStart w:id="69" w:name="_Toc178278182"/>
      <w:bookmarkStart w:id="70" w:name="_Toc177512220"/>
      <w:bookmarkStart w:id="71" w:name="_Toc1441"/>
      <w:r>
        <w:rPr>
          <w:rFonts w:hint="eastAsia"/>
        </w:rPr>
        <w:t>物联设备</w:t>
      </w:r>
      <w:bookmarkEnd w:id="67"/>
      <w:bookmarkEnd w:id="68"/>
      <w:bookmarkEnd w:id="69"/>
      <w:bookmarkEnd w:id="70"/>
      <w:bookmarkEnd w:id="71"/>
    </w:p>
    <w:p>
      <w:pPr>
        <w:pStyle w:val="162"/>
      </w:pPr>
      <w:r>
        <w:rPr>
          <w:rFonts w:hint="eastAsia"/>
        </w:rPr>
        <w:t>在场车上加装的物联设备应安全可靠，不应影响场车的正常运行。</w:t>
      </w:r>
    </w:p>
    <w:p>
      <w:pPr>
        <w:pStyle w:val="162"/>
      </w:pPr>
      <w:r>
        <w:rPr>
          <w:rFonts w:hint="eastAsia"/>
        </w:rPr>
        <w:t>物联设备应具备上报数据对接给应用系统并接受应用系统下发数据的功能，同时具备上传数据本地备份存储功能，且数据保存周期不低于少于30天，视频不少于48h。</w:t>
      </w:r>
    </w:p>
    <w:p>
      <w:pPr>
        <w:pStyle w:val="162"/>
      </w:pPr>
      <w:r>
        <w:rPr>
          <w:rFonts w:hint="eastAsia"/>
        </w:rPr>
        <w:t>物联设备应满足5.4规定的基本功能和5.5规定的扩展功能的要求。</w:t>
      </w:r>
    </w:p>
    <w:p>
      <w:pPr>
        <w:pStyle w:val="162"/>
      </w:pPr>
      <w:r>
        <w:rPr>
          <w:rFonts w:hint="eastAsia"/>
        </w:rPr>
        <w:t>物联设备的基本功能见表 1，用户应按照要求配备。</w:t>
      </w:r>
    </w:p>
    <w:p>
      <w:pPr>
        <w:pStyle w:val="112"/>
        <w:spacing w:before="156" w:after="156"/>
      </w:pPr>
      <w:r>
        <w:rPr>
          <w:rFonts w:hint="eastAsia"/>
        </w:rPr>
        <w:t>基本功能</w:t>
      </w:r>
    </w:p>
    <w:tbl>
      <w:tblPr>
        <w:tblStyle w:val="27"/>
        <w:tblpPr w:leftFromText="180" w:rightFromText="180" w:vertAnchor="text" w:horzAnchor="margin" w:tblpX="132" w:tblpY="4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67"/>
        <w:gridCol w:w="2410"/>
        <w:gridCol w:w="622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567" w:type="dxa"/>
            <w:tcBorders>
              <w:top w:val="single" w:color="auto" w:sz="8" w:space="0"/>
              <w:bottom w:val="single" w:color="auto" w:sz="8" w:space="0"/>
            </w:tcBorders>
            <w:shd w:val="clear" w:color="auto" w:fill="auto"/>
          </w:tcPr>
          <w:p>
            <w:pPr>
              <w:pStyle w:val="178"/>
            </w:pPr>
            <w:r>
              <w:rPr>
                <w:rFonts w:hint="eastAsia"/>
              </w:rPr>
              <w:t>序号</w:t>
            </w:r>
          </w:p>
        </w:tc>
        <w:tc>
          <w:tcPr>
            <w:tcW w:w="2410" w:type="dxa"/>
            <w:tcBorders>
              <w:top w:val="single" w:color="auto" w:sz="8" w:space="0"/>
              <w:bottom w:val="single" w:color="auto" w:sz="8" w:space="0"/>
            </w:tcBorders>
            <w:shd w:val="clear" w:color="auto" w:fill="auto"/>
          </w:tcPr>
          <w:p>
            <w:pPr>
              <w:pStyle w:val="178"/>
            </w:pPr>
            <w:r>
              <w:rPr>
                <w:rFonts w:hint="eastAsia"/>
              </w:rPr>
              <w:t>功能</w:t>
            </w:r>
          </w:p>
        </w:tc>
        <w:tc>
          <w:tcPr>
            <w:tcW w:w="6225" w:type="dxa"/>
            <w:tcBorders>
              <w:top w:val="single" w:color="auto" w:sz="8" w:space="0"/>
              <w:bottom w:val="single" w:color="auto" w:sz="8" w:space="0"/>
            </w:tcBorders>
            <w:shd w:val="clear" w:color="auto" w:fill="auto"/>
          </w:tcPr>
          <w:p>
            <w:pPr>
              <w:pStyle w:val="178"/>
            </w:pPr>
            <w:r>
              <w:rPr>
                <w:rFonts w:hint="eastAsia"/>
              </w:rPr>
              <w:t>功能描述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67" w:type="dxa"/>
            <w:tcBorders>
              <w:top w:val="single" w:color="auto" w:sz="8" w:space="0"/>
            </w:tcBorders>
            <w:shd w:val="clear" w:color="auto" w:fill="auto"/>
          </w:tcPr>
          <w:p>
            <w:pPr>
              <w:pStyle w:val="178"/>
            </w:pPr>
            <w:r>
              <w:rPr>
                <w:rFonts w:hint="eastAsia"/>
              </w:rPr>
              <w:t>1</w:t>
            </w:r>
          </w:p>
        </w:tc>
        <w:tc>
          <w:tcPr>
            <w:tcW w:w="2410" w:type="dxa"/>
            <w:tcBorders>
              <w:top w:val="single" w:color="auto" w:sz="8" w:space="0"/>
            </w:tcBorders>
            <w:shd w:val="clear" w:color="auto" w:fill="auto"/>
          </w:tcPr>
          <w:p>
            <w:pPr>
              <w:pStyle w:val="178"/>
            </w:pPr>
            <w:r>
              <w:rPr>
                <w:rFonts w:hint="eastAsia"/>
              </w:rPr>
              <w:t>司机权限信息采集</w:t>
            </w:r>
          </w:p>
        </w:tc>
        <w:tc>
          <w:tcPr>
            <w:tcW w:w="6225" w:type="dxa"/>
            <w:tcBorders>
              <w:top w:val="single" w:color="auto" w:sz="8" w:space="0"/>
            </w:tcBorders>
            <w:shd w:val="clear" w:color="auto" w:fill="auto"/>
          </w:tcPr>
          <w:p>
            <w:pPr>
              <w:pStyle w:val="178"/>
              <w:jc w:val="left"/>
            </w:pPr>
            <w:r>
              <w:rPr>
                <w:rFonts w:hint="eastAsia"/>
              </w:rPr>
              <w:t>对司机的身份识别应采取通过指纹、虹膜、人脸特征等生物信息或者磁卡等，当该采集器失效、拆除或者司机信息不正确时，车辆不能启动</w:t>
            </w:r>
          </w:p>
        </w:tc>
      </w:tr>
    </w:tbl>
    <w:p>
      <w:pPr>
        <w:pStyle w:val="56"/>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表1  基本功能</w:t>
      </w:r>
      <w:r>
        <w:rPr>
          <w:rFonts w:hint="eastAsia" w:hAnsi="宋体"/>
        </w:rPr>
        <w:t>（续）</w:t>
      </w:r>
    </w:p>
    <w:tbl>
      <w:tblPr>
        <w:tblStyle w:val="27"/>
        <w:tblpPr w:leftFromText="180" w:rightFromText="180" w:vertAnchor="text" w:horzAnchor="margin" w:tblpX="132" w:tblpY="4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67"/>
        <w:gridCol w:w="2410"/>
        <w:gridCol w:w="622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567" w:type="dxa"/>
            <w:tcBorders>
              <w:top w:val="single" w:color="auto" w:sz="8" w:space="0"/>
              <w:bottom w:val="single" w:color="auto" w:sz="8" w:space="0"/>
            </w:tcBorders>
            <w:shd w:val="clear" w:color="auto" w:fill="auto"/>
          </w:tcPr>
          <w:p>
            <w:pPr>
              <w:pStyle w:val="178"/>
            </w:pPr>
            <w:r>
              <w:rPr>
                <w:rFonts w:hint="eastAsia"/>
              </w:rPr>
              <w:t>序号</w:t>
            </w:r>
          </w:p>
        </w:tc>
        <w:tc>
          <w:tcPr>
            <w:tcW w:w="2410" w:type="dxa"/>
            <w:tcBorders>
              <w:top w:val="single" w:color="auto" w:sz="8" w:space="0"/>
              <w:bottom w:val="single" w:color="auto" w:sz="8" w:space="0"/>
            </w:tcBorders>
            <w:shd w:val="clear" w:color="auto" w:fill="auto"/>
          </w:tcPr>
          <w:p>
            <w:pPr>
              <w:pStyle w:val="178"/>
            </w:pPr>
            <w:r>
              <w:rPr>
                <w:rFonts w:hint="eastAsia"/>
              </w:rPr>
              <w:t>功能</w:t>
            </w:r>
          </w:p>
        </w:tc>
        <w:tc>
          <w:tcPr>
            <w:tcW w:w="6225" w:type="dxa"/>
            <w:tcBorders>
              <w:top w:val="single" w:color="auto" w:sz="8" w:space="0"/>
              <w:bottom w:val="single" w:color="auto" w:sz="8" w:space="0"/>
            </w:tcBorders>
            <w:shd w:val="clear" w:color="auto" w:fill="auto"/>
          </w:tcPr>
          <w:p>
            <w:pPr>
              <w:pStyle w:val="178"/>
            </w:pPr>
            <w:r>
              <w:rPr>
                <w:rFonts w:hint="eastAsia"/>
              </w:rPr>
              <w:t>功能描述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67" w:type="dxa"/>
            <w:shd w:val="clear" w:color="auto" w:fill="auto"/>
          </w:tcPr>
          <w:p>
            <w:pPr>
              <w:pStyle w:val="178"/>
            </w:pPr>
            <w:r>
              <w:rPr>
                <w:rFonts w:hint="eastAsia"/>
              </w:rPr>
              <w:t>2</w:t>
            </w:r>
          </w:p>
        </w:tc>
        <w:tc>
          <w:tcPr>
            <w:tcW w:w="2410" w:type="dxa"/>
            <w:shd w:val="clear" w:color="auto" w:fill="auto"/>
          </w:tcPr>
          <w:p>
            <w:pPr>
              <w:pStyle w:val="178"/>
            </w:pPr>
            <w:r>
              <w:rPr>
                <w:rFonts w:hint="eastAsia"/>
              </w:rPr>
              <w:t>安全带等防护约束</w:t>
            </w:r>
          </w:p>
        </w:tc>
        <w:tc>
          <w:tcPr>
            <w:tcW w:w="6225" w:type="dxa"/>
            <w:shd w:val="clear" w:color="auto" w:fill="auto"/>
          </w:tcPr>
          <w:p>
            <w:pPr>
              <w:pStyle w:val="178"/>
              <w:jc w:val="left"/>
            </w:pPr>
            <w:r>
              <w:rPr>
                <w:rFonts w:hint="eastAsia"/>
              </w:rPr>
              <w:t>按照相关标准配备安全带等防护约束装置,启动后因未知原因判断为安全带未佩戴状态的做记录，不强制熄火)，如通过非正常手段使车辆处于未佩戴安全带作业状态的，对预警情况进行记录，同时当司机不在正常操作位置时，车辆不能进行动力运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67" w:type="dxa"/>
            <w:shd w:val="clear" w:color="auto" w:fill="auto"/>
          </w:tcPr>
          <w:p>
            <w:pPr>
              <w:pStyle w:val="178"/>
            </w:pPr>
            <w:r>
              <w:rPr>
                <w:rFonts w:hint="eastAsia"/>
              </w:rPr>
              <w:t>3</w:t>
            </w:r>
          </w:p>
        </w:tc>
        <w:tc>
          <w:tcPr>
            <w:tcW w:w="2410" w:type="dxa"/>
            <w:shd w:val="clear" w:color="auto" w:fill="auto"/>
          </w:tcPr>
          <w:p>
            <w:pPr>
              <w:pStyle w:val="178"/>
            </w:pPr>
            <w:r>
              <w:rPr>
                <w:rFonts w:hint="eastAsia"/>
              </w:rPr>
              <w:t>司机坐（站）姿感知系统</w:t>
            </w:r>
          </w:p>
        </w:tc>
        <w:tc>
          <w:tcPr>
            <w:tcW w:w="6225" w:type="dxa"/>
            <w:shd w:val="clear" w:color="auto" w:fill="auto"/>
          </w:tcPr>
          <w:p>
            <w:pPr>
              <w:pStyle w:val="178"/>
              <w:jc w:val="left"/>
            </w:pPr>
            <w:r>
              <w:rPr>
                <w:rFonts w:hint="eastAsia"/>
              </w:rPr>
              <w:t>该系统能保证当司机不在正常操作位置时，车辆不能进行动力运行，即使操纵载荷装卸控制装置，也不应当出现门架的倾斜和货叉架的移动；当司机回到正常操作位置，但没有进行额外操作时，动力运行、门架的倾斜和货叉架的移动均不应当自动发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2" w:hRule="atLeast"/>
        </w:trPr>
        <w:tc>
          <w:tcPr>
            <w:tcW w:w="567" w:type="dxa"/>
            <w:shd w:val="clear" w:color="auto" w:fill="auto"/>
          </w:tcPr>
          <w:p>
            <w:pPr>
              <w:pStyle w:val="178"/>
            </w:pPr>
            <w:r>
              <w:rPr>
                <w:rFonts w:hint="eastAsia"/>
              </w:rPr>
              <w:t>4</w:t>
            </w:r>
          </w:p>
        </w:tc>
        <w:tc>
          <w:tcPr>
            <w:tcW w:w="2410" w:type="dxa"/>
            <w:shd w:val="clear" w:color="auto" w:fill="auto"/>
          </w:tcPr>
          <w:p>
            <w:pPr>
              <w:pStyle w:val="178"/>
            </w:pPr>
            <w:r>
              <w:rPr>
                <w:rFonts w:hint="eastAsia"/>
              </w:rPr>
              <w:t>超速</w:t>
            </w:r>
          </w:p>
        </w:tc>
        <w:tc>
          <w:tcPr>
            <w:tcW w:w="6225" w:type="dxa"/>
            <w:shd w:val="clear" w:color="auto" w:fill="auto"/>
          </w:tcPr>
          <w:p>
            <w:pPr>
              <w:pStyle w:val="178"/>
              <w:jc w:val="left"/>
            </w:pPr>
            <w:r>
              <w:rPr>
                <w:rFonts w:hint="eastAsia"/>
              </w:rPr>
              <w:t>可判断车速是否超过规定速度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2" w:hRule="atLeast"/>
        </w:trPr>
        <w:tc>
          <w:tcPr>
            <w:tcW w:w="567" w:type="dxa"/>
            <w:shd w:val="clear" w:color="auto" w:fill="auto"/>
          </w:tcPr>
          <w:p>
            <w:pPr>
              <w:pStyle w:val="178"/>
            </w:pPr>
            <w:r>
              <w:rPr>
                <w:rFonts w:hint="eastAsia"/>
              </w:rPr>
              <w:t>5</w:t>
            </w:r>
          </w:p>
        </w:tc>
        <w:tc>
          <w:tcPr>
            <w:tcW w:w="2410" w:type="dxa"/>
            <w:shd w:val="clear" w:color="auto" w:fill="auto"/>
          </w:tcPr>
          <w:p>
            <w:pPr>
              <w:pStyle w:val="178"/>
            </w:pPr>
            <w:r>
              <w:rPr>
                <w:rFonts w:hint="eastAsia"/>
              </w:rPr>
              <w:t>定位</w:t>
            </w:r>
          </w:p>
        </w:tc>
        <w:tc>
          <w:tcPr>
            <w:tcW w:w="6225" w:type="dxa"/>
            <w:shd w:val="clear" w:color="auto" w:fill="auto"/>
          </w:tcPr>
          <w:p>
            <w:pPr>
              <w:pStyle w:val="178"/>
              <w:jc w:val="left"/>
            </w:pPr>
            <w:r>
              <w:rPr>
                <w:rFonts w:hint="eastAsia"/>
              </w:rPr>
              <w:t>实时追踪车辆位置, 记录车辆行驶的历史轨迹并支持指挥调度</w:t>
            </w:r>
          </w:p>
        </w:tc>
      </w:tr>
    </w:tbl>
    <w:p>
      <w:pPr>
        <w:pStyle w:val="162"/>
        <w:numPr>
          <w:ilvl w:val="0"/>
          <w:numId w:val="0"/>
        </w:numPr>
      </w:pPr>
    </w:p>
    <w:p>
      <w:pPr>
        <w:pStyle w:val="162"/>
      </w:pPr>
      <w:r>
        <w:rPr>
          <w:rFonts w:hint="eastAsia"/>
        </w:rPr>
        <w:t>物联设备的扩展功能见表 2，可根据用户需求进行选择配置。</w:t>
      </w:r>
    </w:p>
    <w:p>
      <w:pPr>
        <w:pStyle w:val="112"/>
        <w:spacing w:before="156" w:after="156"/>
      </w:pPr>
      <w:r>
        <w:rPr>
          <w:rFonts w:hint="eastAsia"/>
        </w:rPr>
        <w:t>扩展功能</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2126"/>
        <w:gridCol w:w="650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99" w:type="dxa"/>
            <w:tcBorders>
              <w:top w:val="single" w:color="auto" w:sz="8" w:space="0"/>
              <w:bottom w:val="single" w:color="auto" w:sz="8" w:space="0"/>
            </w:tcBorders>
            <w:shd w:val="clear" w:color="auto" w:fill="auto"/>
          </w:tcPr>
          <w:p>
            <w:pPr>
              <w:pStyle w:val="178"/>
            </w:pPr>
            <w:r>
              <w:rPr>
                <w:rFonts w:hint="eastAsia"/>
              </w:rPr>
              <w:t>序号</w:t>
            </w:r>
          </w:p>
        </w:tc>
        <w:tc>
          <w:tcPr>
            <w:tcW w:w="2126" w:type="dxa"/>
            <w:tcBorders>
              <w:top w:val="single" w:color="auto" w:sz="8" w:space="0"/>
              <w:bottom w:val="single" w:color="auto" w:sz="8" w:space="0"/>
            </w:tcBorders>
            <w:shd w:val="clear" w:color="auto" w:fill="auto"/>
          </w:tcPr>
          <w:p>
            <w:pPr>
              <w:pStyle w:val="178"/>
            </w:pPr>
            <w:r>
              <w:rPr>
                <w:rFonts w:hint="eastAsia"/>
              </w:rPr>
              <w:t>功能</w:t>
            </w:r>
          </w:p>
        </w:tc>
        <w:tc>
          <w:tcPr>
            <w:tcW w:w="6509" w:type="dxa"/>
            <w:tcBorders>
              <w:top w:val="single" w:color="auto" w:sz="8" w:space="0"/>
              <w:bottom w:val="single" w:color="auto" w:sz="8" w:space="0"/>
            </w:tcBorders>
            <w:shd w:val="clear" w:color="auto" w:fill="auto"/>
          </w:tcPr>
          <w:p>
            <w:pPr>
              <w:pStyle w:val="178"/>
            </w:pPr>
            <w:r>
              <w:rPr>
                <w:rFonts w:hint="eastAsia"/>
              </w:rPr>
              <w:t>功能描述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tcBorders>
              <w:top w:val="single" w:color="auto" w:sz="8" w:space="0"/>
            </w:tcBorders>
            <w:shd w:val="clear" w:color="auto" w:fill="auto"/>
          </w:tcPr>
          <w:p>
            <w:pPr>
              <w:pStyle w:val="178"/>
            </w:pPr>
            <w:r>
              <w:rPr>
                <w:rFonts w:hint="eastAsia"/>
              </w:rPr>
              <w:t>1</w:t>
            </w:r>
          </w:p>
        </w:tc>
        <w:tc>
          <w:tcPr>
            <w:tcW w:w="2126" w:type="dxa"/>
            <w:tcBorders>
              <w:top w:val="single" w:color="auto" w:sz="8" w:space="0"/>
            </w:tcBorders>
            <w:shd w:val="clear" w:color="auto" w:fill="auto"/>
          </w:tcPr>
          <w:p>
            <w:pPr>
              <w:pStyle w:val="178"/>
            </w:pPr>
            <w:r>
              <w:rPr>
                <w:rFonts w:hint="eastAsia"/>
              </w:rPr>
              <w:t>作业区域警示</w:t>
            </w:r>
          </w:p>
        </w:tc>
        <w:tc>
          <w:tcPr>
            <w:tcW w:w="6509" w:type="dxa"/>
            <w:tcBorders>
              <w:top w:val="single" w:color="auto" w:sz="8" w:space="0"/>
            </w:tcBorders>
            <w:shd w:val="clear" w:color="auto" w:fill="auto"/>
          </w:tcPr>
          <w:p>
            <w:pPr>
              <w:pStyle w:val="178"/>
              <w:jc w:val="left"/>
            </w:pPr>
            <w:r>
              <w:rPr>
                <w:rFonts w:hint="eastAsia"/>
              </w:rPr>
              <w:t>设置电子围栏，规范场车作业区域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2</w:t>
            </w:r>
          </w:p>
        </w:tc>
        <w:tc>
          <w:tcPr>
            <w:tcW w:w="2126" w:type="dxa"/>
            <w:shd w:val="clear" w:color="auto" w:fill="auto"/>
          </w:tcPr>
          <w:p>
            <w:pPr>
              <w:pStyle w:val="178"/>
            </w:pPr>
            <w:r>
              <w:rPr>
                <w:rFonts w:hint="eastAsia"/>
              </w:rPr>
              <w:t>车辆状态监控</w:t>
            </w:r>
          </w:p>
        </w:tc>
        <w:tc>
          <w:tcPr>
            <w:tcW w:w="6509" w:type="dxa"/>
            <w:shd w:val="clear" w:color="auto" w:fill="auto"/>
          </w:tcPr>
          <w:p>
            <w:pPr>
              <w:pStyle w:val="178"/>
              <w:jc w:val="left"/>
            </w:pPr>
            <w:r>
              <w:rPr>
                <w:rFonts w:hint="eastAsia"/>
              </w:rPr>
              <w:t>起升高度、门架倾斜角度、车轮转向角度、人员感应距离、停车制动状态、倒车状态等参数监控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2" w:hRule="atLeast"/>
          <w:jc w:val="center"/>
        </w:trPr>
        <w:tc>
          <w:tcPr>
            <w:tcW w:w="699" w:type="dxa"/>
            <w:shd w:val="clear" w:color="auto" w:fill="auto"/>
          </w:tcPr>
          <w:p>
            <w:pPr>
              <w:pStyle w:val="178"/>
            </w:pPr>
            <w:r>
              <w:rPr>
                <w:rFonts w:hint="eastAsia"/>
              </w:rPr>
              <w:t>3</w:t>
            </w:r>
          </w:p>
        </w:tc>
        <w:tc>
          <w:tcPr>
            <w:tcW w:w="2126" w:type="dxa"/>
            <w:shd w:val="clear" w:color="auto" w:fill="auto"/>
          </w:tcPr>
          <w:p>
            <w:pPr>
              <w:pStyle w:val="178"/>
            </w:pPr>
            <w:r>
              <w:rPr>
                <w:rFonts w:hint="eastAsia"/>
              </w:rPr>
              <w:t>违规作业行为抓拍</w:t>
            </w:r>
          </w:p>
        </w:tc>
        <w:tc>
          <w:tcPr>
            <w:tcW w:w="6509" w:type="dxa"/>
            <w:shd w:val="clear" w:color="auto" w:fill="auto"/>
          </w:tcPr>
          <w:p>
            <w:pPr>
              <w:pStyle w:val="178"/>
              <w:jc w:val="left"/>
            </w:pPr>
            <w:r>
              <w:rPr>
                <w:rFonts w:hint="eastAsia"/>
              </w:rPr>
              <w:t>人脸识别比对，违规行为（例如：抽烟、玩手游、看小说、打电话等）抓取实时监控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2" w:hRule="atLeast"/>
          <w:jc w:val="center"/>
        </w:trPr>
        <w:tc>
          <w:tcPr>
            <w:tcW w:w="699" w:type="dxa"/>
            <w:shd w:val="clear" w:color="auto" w:fill="auto"/>
          </w:tcPr>
          <w:p>
            <w:pPr>
              <w:pStyle w:val="178"/>
            </w:pPr>
            <w:r>
              <w:rPr>
                <w:rFonts w:hint="eastAsia"/>
              </w:rPr>
              <w:t>4</w:t>
            </w:r>
          </w:p>
        </w:tc>
        <w:tc>
          <w:tcPr>
            <w:tcW w:w="2126" w:type="dxa"/>
            <w:shd w:val="clear" w:color="auto" w:fill="auto"/>
          </w:tcPr>
          <w:p>
            <w:pPr>
              <w:pStyle w:val="178"/>
            </w:pPr>
            <w:r>
              <w:rPr>
                <w:rFonts w:hint="eastAsia"/>
              </w:rPr>
              <w:t>企业管理</w:t>
            </w:r>
          </w:p>
        </w:tc>
        <w:tc>
          <w:tcPr>
            <w:tcW w:w="6509" w:type="dxa"/>
            <w:shd w:val="clear" w:color="auto" w:fill="auto"/>
          </w:tcPr>
          <w:p>
            <w:pPr>
              <w:pStyle w:val="178"/>
              <w:jc w:val="left"/>
            </w:pPr>
            <w:r>
              <w:rPr>
                <w:rFonts w:hint="eastAsia"/>
              </w:rPr>
              <w:t>建立场车管理台账，落实企业主体责任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699" w:type="dxa"/>
            <w:shd w:val="clear" w:color="auto" w:fill="auto"/>
          </w:tcPr>
          <w:p>
            <w:pPr>
              <w:pStyle w:val="178"/>
            </w:pPr>
            <w:r>
              <w:rPr>
                <w:rFonts w:hint="eastAsia"/>
              </w:rPr>
              <w:t>5</w:t>
            </w:r>
          </w:p>
        </w:tc>
        <w:tc>
          <w:tcPr>
            <w:tcW w:w="2126" w:type="dxa"/>
            <w:shd w:val="clear" w:color="auto" w:fill="auto"/>
          </w:tcPr>
          <w:p>
            <w:pPr>
              <w:pStyle w:val="178"/>
            </w:pPr>
            <w:r>
              <w:rPr>
                <w:rFonts w:hint="eastAsia"/>
              </w:rPr>
              <w:t>视野视认性不良</w:t>
            </w:r>
          </w:p>
        </w:tc>
        <w:tc>
          <w:tcPr>
            <w:tcW w:w="6509" w:type="dxa"/>
            <w:shd w:val="clear" w:color="auto" w:fill="auto"/>
          </w:tcPr>
          <w:p>
            <w:pPr>
              <w:pStyle w:val="178"/>
              <w:jc w:val="left"/>
            </w:pPr>
            <w:r>
              <w:rPr>
                <w:rFonts w:hint="eastAsia"/>
              </w:rPr>
              <w:t>可判断视野遮挡等情况，并作出声光提示</w:t>
            </w:r>
          </w:p>
        </w:tc>
      </w:tr>
    </w:tbl>
    <w:p>
      <w:pPr>
        <w:pStyle w:val="104"/>
        <w:spacing w:before="312" w:after="312"/>
      </w:pPr>
      <w:bookmarkStart w:id="72" w:name="_Toc177510368"/>
      <w:bookmarkStart w:id="73" w:name="_Toc178278183"/>
      <w:bookmarkStart w:id="74" w:name="_Toc178278129"/>
      <w:bookmarkStart w:id="75" w:name="_Toc32441"/>
      <w:bookmarkStart w:id="76" w:name="_Toc177512221"/>
      <w:r>
        <w:rPr>
          <w:rFonts w:hint="eastAsia"/>
        </w:rPr>
        <w:t>场车应用系统</w:t>
      </w:r>
      <w:bookmarkEnd w:id="72"/>
      <w:bookmarkEnd w:id="73"/>
      <w:bookmarkEnd w:id="74"/>
      <w:bookmarkEnd w:id="75"/>
      <w:bookmarkEnd w:id="76"/>
    </w:p>
    <w:p>
      <w:pPr>
        <w:pStyle w:val="105"/>
        <w:spacing w:before="156" w:after="156"/>
      </w:pPr>
      <w:bookmarkStart w:id="77" w:name="_Toc177510369"/>
      <w:bookmarkStart w:id="78" w:name="_Toc178278184"/>
      <w:bookmarkStart w:id="79" w:name="_Toc177512222"/>
      <w:bookmarkStart w:id="80" w:name="_Toc178278130"/>
      <w:bookmarkStart w:id="81" w:name="_Toc17495"/>
      <w:r>
        <w:rPr>
          <w:rFonts w:hint="eastAsia"/>
        </w:rPr>
        <w:t>合法性验证</w:t>
      </w:r>
      <w:bookmarkEnd w:id="77"/>
      <w:bookmarkEnd w:id="78"/>
      <w:bookmarkEnd w:id="79"/>
      <w:bookmarkEnd w:id="80"/>
      <w:bookmarkEnd w:id="81"/>
    </w:p>
    <w:p>
      <w:pPr>
        <w:pStyle w:val="162"/>
        <w:numPr>
          <w:ilvl w:val="0"/>
          <w:numId w:val="0"/>
        </w:numPr>
        <w:ind w:firstLine="420" w:firstLineChars="200"/>
      </w:pPr>
      <w:r>
        <w:rPr>
          <w:rFonts w:hint="eastAsia"/>
        </w:rPr>
        <w:t>场车应具有合法性验证功能，合法性验证通过后方可启动；验证不通过应发送预警信息至应用系统。合法性验证要求如下：</w:t>
      </w:r>
    </w:p>
    <w:p>
      <w:pPr>
        <w:pStyle w:val="174"/>
      </w:pPr>
      <w:r>
        <w:rPr>
          <w:rFonts w:hint="eastAsia"/>
        </w:rPr>
        <w:t>应具备识别验证场车检验有效周期的功能；</w:t>
      </w:r>
    </w:p>
    <w:p>
      <w:pPr>
        <w:pStyle w:val="174"/>
      </w:pPr>
      <w:r>
        <w:rPr>
          <w:rFonts w:hint="eastAsia"/>
        </w:rPr>
        <w:t>应具备识别验证场车司机已取得场车作业资格的功能，叉车/观光车辆作业资格录入环节还应具备真伪核验步骤；</w:t>
      </w:r>
    </w:p>
    <w:p>
      <w:pPr>
        <w:pStyle w:val="174"/>
      </w:pPr>
      <w:r>
        <w:rPr>
          <w:rFonts w:hint="eastAsia"/>
        </w:rPr>
        <w:t>应具备将场车、司机与使用单位三者权限对应绑定的功能。</w:t>
      </w:r>
    </w:p>
    <w:p>
      <w:pPr>
        <w:pStyle w:val="105"/>
        <w:spacing w:before="156" w:after="156"/>
      </w:pPr>
      <w:bookmarkStart w:id="82" w:name="_Toc178278131"/>
      <w:bookmarkStart w:id="83" w:name="_Toc177510370"/>
      <w:bookmarkStart w:id="84" w:name="_Toc177512223"/>
      <w:bookmarkStart w:id="85" w:name="_Toc18875"/>
      <w:bookmarkStart w:id="86" w:name="_Toc178278185"/>
      <w:r>
        <w:rPr>
          <w:rFonts w:hint="eastAsia"/>
        </w:rPr>
        <w:t>预警提示</w:t>
      </w:r>
      <w:bookmarkEnd w:id="82"/>
      <w:bookmarkEnd w:id="83"/>
      <w:bookmarkEnd w:id="84"/>
      <w:bookmarkEnd w:id="85"/>
      <w:bookmarkEnd w:id="86"/>
    </w:p>
    <w:p>
      <w:pPr>
        <w:pStyle w:val="65"/>
        <w:spacing w:before="156" w:after="156"/>
      </w:pPr>
      <w:bookmarkStart w:id="87" w:name="_Toc178278132"/>
      <w:bookmarkStart w:id="88" w:name="_Toc15361"/>
      <w:bookmarkStart w:id="89" w:name="_Toc177512224"/>
      <w:bookmarkStart w:id="90" w:name="_Toc178278186"/>
      <w:bookmarkStart w:id="91" w:name="_Toc177510371"/>
      <w:r>
        <w:rPr>
          <w:rFonts w:hint="eastAsia"/>
        </w:rPr>
        <w:t>一般要求</w:t>
      </w:r>
      <w:bookmarkEnd w:id="87"/>
      <w:bookmarkEnd w:id="88"/>
      <w:bookmarkEnd w:id="89"/>
      <w:bookmarkEnd w:id="90"/>
      <w:bookmarkEnd w:id="91"/>
    </w:p>
    <w:p>
      <w:pPr>
        <w:pStyle w:val="56"/>
        <w:ind w:firstLine="420"/>
      </w:pPr>
      <w:r>
        <w:rPr>
          <w:rFonts w:hint="eastAsia"/>
        </w:rPr>
        <w:t>应用系统应在场车作业前或作业时对可能存在的危险作业行为进行预警提示（例如灯光</w:t>
      </w:r>
      <w:r>
        <w:rPr>
          <w:rFonts w:hint="eastAsia"/>
          <w:lang w:eastAsia="zh-CN"/>
        </w:rPr>
        <w:t>、</w:t>
      </w:r>
      <w:r>
        <w:rPr>
          <w:rFonts w:hint="eastAsia"/>
        </w:rPr>
        <w:t>声响）。预警提示要求包括但不限于</w:t>
      </w:r>
      <w:r>
        <w:rPr>
          <w:rFonts w:hint="eastAsia"/>
          <w:lang w:eastAsia="zh-CN"/>
        </w:rPr>
        <w:t>以</w:t>
      </w:r>
      <w:r>
        <w:rPr>
          <w:rFonts w:hint="eastAsia"/>
        </w:rPr>
        <w:t>下内容：</w:t>
      </w:r>
    </w:p>
    <w:p>
      <w:pPr>
        <w:pStyle w:val="174"/>
        <w:numPr>
          <w:ilvl w:val="0"/>
          <w:numId w:val="32"/>
        </w:numPr>
      </w:pPr>
      <w:r>
        <w:rPr>
          <w:rFonts w:hint="eastAsia"/>
        </w:rPr>
        <w:t>场车司机未按规定使用防护约束装置（例如安全带）；</w:t>
      </w:r>
    </w:p>
    <w:p>
      <w:pPr>
        <w:pStyle w:val="174"/>
      </w:pPr>
      <w:r>
        <w:rPr>
          <w:rFonts w:hint="eastAsia"/>
        </w:rPr>
        <w:t>乘驾式电动叉车、电液换向的乘驾式内燃平衡重式叉车、电液换向的乘驾式内燃侧面式叉车设置的司机处于不在正常操作位置时操纵载荷装卸控制装置；</w:t>
      </w:r>
    </w:p>
    <w:p>
      <w:pPr>
        <w:pStyle w:val="174"/>
      </w:pPr>
      <w:r>
        <w:rPr>
          <w:rFonts w:hint="eastAsia"/>
        </w:rPr>
        <w:t>超速，场车运行速度大于最大运行速度或者企业单独规定的运行速度；</w:t>
      </w:r>
    </w:p>
    <w:p>
      <w:pPr>
        <w:pStyle w:val="174"/>
      </w:pPr>
      <w:r>
        <w:rPr>
          <w:rFonts w:hint="eastAsia"/>
        </w:rPr>
        <w:t>作业区域警示；</w:t>
      </w:r>
    </w:p>
    <w:p>
      <w:pPr>
        <w:pStyle w:val="174"/>
      </w:pPr>
      <w:r>
        <w:rPr>
          <w:rFonts w:hint="eastAsia"/>
        </w:rPr>
        <w:t>车辆状态监控警示，包括起升高度、门架倾斜角度、车轮转向角度、人员感应距离、停车制动状态、倒车状态等；</w:t>
      </w:r>
    </w:p>
    <w:p>
      <w:pPr>
        <w:pStyle w:val="174"/>
      </w:pPr>
      <w:r>
        <w:rPr>
          <w:rFonts w:hint="eastAsia"/>
        </w:rPr>
        <w:t>视野不良；</w:t>
      </w:r>
    </w:p>
    <w:p>
      <w:pPr>
        <w:pStyle w:val="174"/>
      </w:pPr>
      <w:r>
        <w:rPr>
          <w:rFonts w:hint="eastAsia"/>
        </w:rPr>
        <w:t>碰撞预警。</w:t>
      </w:r>
    </w:p>
    <w:p>
      <w:pPr>
        <w:pStyle w:val="65"/>
        <w:spacing w:before="156" w:after="156"/>
      </w:pPr>
      <w:bookmarkStart w:id="92" w:name="_Toc178278133"/>
      <w:bookmarkStart w:id="93" w:name="_Toc177512225"/>
      <w:bookmarkStart w:id="94" w:name="_Toc3659"/>
      <w:bookmarkStart w:id="95" w:name="_Toc178278187"/>
      <w:bookmarkStart w:id="96" w:name="_Toc177510372"/>
      <w:r>
        <w:rPr>
          <w:rFonts w:hint="eastAsia"/>
        </w:rPr>
        <w:t>预警警报</w:t>
      </w:r>
      <w:bookmarkEnd w:id="92"/>
      <w:bookmarkEnd w:id="93"/>
      <w:bookmarkEnd w:id="94"/>
      <w:bookmarkEnd w:id="95"/>
      <w:bookmarkEnd w:id="96"/>
    </w:p>
    <w:p>
      <w:pPr>
        <w:pStyle w:val="56"/>
        <w:ind w:firstLine="420"/>
      </w:pPr>
      <w:r>
        <w:rPr>
          <w:rFonts w:hint="eastAsia"/>
        </w:rPr>
        <w:t>应用系统应在车辆出现危险行为时发出预警警报（例如灯光和声响），危险行为至少包括但不限于：</w:t>
      </w:r>
    </w:p>
    <w:p>
      <w:pPr>
        <w:pStyle w:val="174"/>
        <w:numPr>
          <w:ilvl w:val="0"/>
          <w:numId w:val="33"/>
        </w:numPr>
      </w:pPr>
      <w:r>
        <w:rPr>
          <w:rFonts w:hint="eastAsia"/>
        </w:rPr>
        <w:t>固定插入安全带后不再解除（例如使用安全带插扣）；</w:t>
      </w:r>
    </w:p>
    <w:p>
      <w:pPr>
        <w:pStyle w:val="174"/>
      </w:pPr>
      <w:r>
        <w:rPr>
          <w:rFonts w:hint="eastAsia"/>
        </w:rPr>
        <w:t>物联设备疑似暴力拆除、物联设备故障损坏等。</w:t>
      </w:r>
    </w:p>
    <w:p>
      <w:pPr>
        <w:pStyle w:val="65"/>
        <w:spacing w:before="156" w:after="156"/>
      </w:pPr>
      <w:bookmarkStart w:id="97" w:name="_Toc177512226"/>
      <w:bookmarkStart w:id="98" w:name="_Toc178278134"/>
      <w:bookmarkStart w:id="99" w:name="_Toc19145"/>
      <w:bookmarkStart w:id="100" w:name="_Toc177510373"/>
      <w:bookmarkStart w:id="101" w:name="_Toc178278188"/>
      <w:r>
        <w:rPr>
          <w:rFonts w:hint="eastAsia"/>
        </w:rPr>
        <w:t>应用系统对车辆和人员要求</w:t>
      </w:r>
      <w:bookmarkEnd w:id="97"/>
      <w:bookmarkEnd w:id="98"/>
      <w:bookmarkEnd w:id="99"/>
      <w:bookmarkEnd w:id="100"/>
      <w:bookmarkEnd w:id="101"/>
    </w:p>
    <w:p>
      <w:pPr>
        <w:pStyle w:val="162"/>
        <w:numPr>
          <w:ilvl w:val="0"/>
          <w:numId w:val="0"/>
        </w:numPr>
        <w:ind w:firstLine="420" w:firstLineChars="200"/>
      </w:pPr>
      <w:r>
        <w:rPr>
          <w:rFonts w:hint="eastAsia"/>
        </w:rPr>
        <w:t>应用系统应能在场车超出检验周期前两个月、场车司机资质到期前两个月发出预警提示。并分次持续预警至隐患解除。</w:t>
      </w:r>
    </w:p>
    <w:p>
      <w:pPr>
        <w:pStyle w:val="65"/>
        <w:spacing w:before="156" w:after="156"/>
      </w:pPr>
      <w:bookmarkStart w:id="102" w:name="_Toc178278135"/>
      <w:bookmarkStart w:id="103" w:name="_Toc177510374"/>
      <w:bookmarkStart w:id="104" w:name="_Toc178278189"/>
      <w:bookmarkStart w:id="105" w:name="_Toc12076"/>
      <w:bookmarkStart w:id="106" w:name="_Toc177512227"/>
      <w:r>
        <w:rPr>
          <w:rFonts w:hint="eastAsia"/>
        </w:rPr>
        <w:t>预警记录的推送与处置</w:t>
      </w:r>
      <w:bookmarkEnd w:id="102"/>
      <w:bookmarkEnd w:id="103"/>
      <w:bookmarkEnd w:id="104"/>
      <w:bookmarkEnd w:id="105"/>
      <w:bookmarkEnd w:id="106"/>
    </w:p>
    <w:p>
      <w:pPr>
        <w:pStyle w:val="224"/>
        <w:numPr>
          <w:ilvl w:val="0"/>
          <w:numId w:val="0"/>
        </w:numPr>
        <w:ind w:firstLine="420" w:firstLineChars="200"/>
        <w:rPr>
          <w:rFonts w:hint="eastAsia" w:ascii="黑体" w:hAnsi="黑体" w:eastAsia="黑体"/>
        </w:rPr>
      </w:pPr>
      <w:r>
        <w:rPr>
          <w:rFonts w:hint="eastAsia"/>
        </w:rPr>
        <w:t>预警记录的推送与处置，应当起到提醒对象被动接收的效果</w:t>
      </w:r>
      <w:r>
        <w:rPr>
          <w:rFonts w:hint="eastAsia"/>
          <w:lang w:eastAsia="zh-CN"/>
        </w:rPr>
        <w:t>（</w:t>
      </w:r>
      <w:r>
        <w:rPr>
          <w:rFonts w:hint="eastAsia"/>
        </w:rPr>
        <w:t>例如短信、微信服务号消息），不应只在 APP 或应用系统内推送。预警记录应有使用单位管理人员对预警问题处置环节，应用系统首页应显示管理人员未处理的预警记录（如果有），处理结果推送给场车司机。</w:t>
      </w:r>
    </w:p>
    <w:p>
      <w:pPr>
        <w:pStyle w:val="65"/>
        <w:spacing w:before="156" w:after="156"/>
      </w:pPr>
      <w:bookmarkStart w:id="107" w:name="_Toc22688"/>
      <w:bookmarkStart w:id="108" w:name="_Toc178278190"/>
      <w:bookmarkStart w:id="109" w:name="_Toc177512228"/>
      <w:bookmarkStart w:id="110" w:name="_Toc178278136"/>
      <w:bookmarkStart w:id="111" w:name="_Toc177510375"/>
      <w:r>
        <w:rPr>
          <w:rFonts w:hint="eastAsia"/>
        </w:rPr>
        <w:t>现场要求</w:t>
      </w:r>
      <w:bookmarkEnd w:id="107"/>
      <w:bookmarkEnd w:id="108"/>
      <w:bookmarkEnd w:id="109"/>
      <w:bookmarkEnd w:id="110"/>
      <w:bookmarkEnd w:id="111"/>
    </w:p>
    <w:p>
      <w:pPr>
        <w:pStyle w:val="162"/>
        <w:numPr>
          <w:ilvl w:val="0"/>
          <w:numId w:val="0"/>
        </w:numPr>
        <w:ind w:firstLine="420" w:firstLineChars="200"/>
      </w:pPr>
      <w:r>
        <w:rPr>
          <w:rFonts w:hint="eastAsia"/>
        </w:rPr>
        <w:t>现场判断有预警情况时，应有对作业人员或周边人员的声光提醒功能，至少有蜂鸣器报警，采取语音提示的更优。</w:t>
      </w:r>
    </w:p>
    <w:p>
      <w:pPr>
        <w:pStyle w:val="105"/>
        <w:spacing w:before="156" w:after="156"/>
      </w:pPr>
      <w:bookmarkStart w:id="112" w:name="_Toc177512229"/>
      <w:bookmarkStart w:id="113" w:name="_Toc11226"/>
      <w:bookmarkStart w:id="114" w:name="_Toc177510376"/>
      <w:bookmarkStart w:id="115" w:name="_Toc178278191"/>
      <w:bookmarkStart w:id="116" w:name="_Toc178278137"/>
      <w:r>
        <w:rPr>
          <w:rFonts w:hint="eastAsia"/>
        </w:rPr>
        <w:t>定位及数据处理</w:t>
      </w:r>
      <w:bookmarkEnd w:id="112"/>
      <w:bookmarkEnd w:id="113"/>
      <w:bookmarkEnd w:id="114"/>
      <w:bookmarkEnd w:id="115"/>
      <w:bookmarkEnd w:id="116"/>
    </w:p>
    <w:p>
      <w:pPr>
        <w:pStyle w:val="56"/>
        <w:ind w:firstLine="420"/>
      </w:pPr>
      <w:r>
        <w:rPr>
          <w:rFonts w:hint="eastAsia"/>
        </w:rPr>
        <w:t>定位及数据处理应满足以下要求：</w:t>
      </w:r>
    </w:p>
    <w:p>
      <w:pPr>
        <w:pStyle w:val="174"/>
        <w:numPr>
          <w:ilvl w:val="0"/>
          <w:numId w:val="34"/>
        </w:numPr>
      </w:pPr>
      <w:r>
        <w:rPr>
          <w:rFonts w:hint="eastAsia"/>
        </w:rPr>
        <w:t>场车应实时定位，提供场车位置及相关运行数据，并定时上传；</w:t>
      </w:r>
    </w:p>
    <w:p>
      <w:pPr>
        <w:pStyle w:val="174"/>
      </w:pPr>
      <w:r>
        <w:rPr>
          <w:rFonts w:hint="eastAsia"/>
        </w:rPr>
        <w:t>数据上传过程中如出现网络问题时，需要将数据暂存本地，当网络信号恢复后，进行数据补报；</w:t>
      </w:r>
    </w:p>
    <w:p>
      <w:pPr>
        <w:pStyle w:val="174"/>
      </w:pPr>
      <w:r>
        <w:rPr>
          <w:rFonts w:hint="eastAsia"/>
        </w:rPr>
        <w:t>数据至少包含场车位置信息、场车运行状态信息（例如启动、制动、转向、倒车）等。</w:t>
      </w:r>
    </w:p>
    <w:p>
      <w:pPr>
        <w:pStyle w:val="105"/>
        <w:spacing w:before="156" w:after="156"/>
      </w:pPr>
      <w:bookmarkStart w:id="117" w:name="_Toc178278192"/>
      <w:bookmarkStart w:id="118" w:name="_Toc2330"/>
      <w:bookmarkStart w:id="119" w:name="_Toc178278138"/>
      <w:bookmarkStart w:id="120" w:name="_Toc177510377"/>
      <w:bookmarkStart w:id="121" w:name="_Toc177512230"/>
      <w:r>
        <w:rPr>
          <w:rFonts w:hint="eastAsia"/>
        </w:rPr>
        <w:t>点检</w:t>
      </w:r>
      <w:bookmarkEnd w:id="117"/>
      <w:bookmarkEnd w:id="118"/>
      <w:bookmarkEnd w:id="119"/>
      <w:bookmarkEnd w:id="120"/>
      <w:bookmarkEnd w:id="121"/>
    </w:p>
    <w:p>
      <w:pPr>
        <w:pStyle w:val="165"/>
        <w:numPr>
          <w:ilvl w:val="0"/>
          <w:numId w:val="0"/>
        </w:numPr>
        <w:ind w:firstLine="420" w:firstLineChars="200"/>
      </w:pPr>
      <w:r>
        <w:rPr>
          <w:rFonts w:hint="eastAsia"/>
        </w:rPr>
        <w:t>点检要求如下：</w:t>
      </w:r>
    </w:p>
    <w:p>
      <w:pPr>
        <w:pStyle w:val="174"/>
        <w:numPr>
          <w:ilvl w:val="0"/>
          <w:numId w:val="35"/>
        </w:numPr>
      </w:pPr>
      <w:r>
        <w:rPr>
          <w:rFonts w:hint="eastAsia"/>
        </w:rPr>
        <w:t>应用系统应具有每日班前检查功能，未完成每日点检的无法启动车辆。点检项目应至少包含对喇叭、后视镜、安全带、轮胎的确认；</w:t>
      </w:r>
    </w:p>
    <w:p>
      <w:pPr>
        <w:pStyle w:val="174"/>
      </w:pPr>
      <w:r>
        <w:rPr>
          <w:rFonts w:hint="eastAsia"/>
        </w:rPr>
        <w:t>如点检发现不符合项时需经过管理人员确认消除问题隐患后，方可启动车辆。</w:t>
      </w:r>
    </w:p>
    <w:p>
      <w:pPr>
        <w:pStyle w:val="105"/>
        <w:spacing w:before="156" w:after="156"/>
      </w:pPr>
      <w:bookmarkStart w:id="122" w:name="_Toc23423"/>
      <w:bookmarkStart w:id="123" w:name="_Toc178278139"/>
      <w:bookmarkStart w:id="124" w:name="_Toc177510378"/>
      <w:bookmarkStart w:id="125" w:name="_Toc178278193"/>
      <w:bookmarkStart w:id="126" w:name="_Toc177512231"/>
      <w:r>
        <w:rPr>
          <w:rFonts w:hint="eastAsia"/>
        </w:rPr>
        <w:t>作业人员安全警示教育</w:t>
      </w:r>
      <w:bookmarkEnd w:id="122"/>
      <w:bookmarkEnd w:id="123"/>
      <w:bookmarkEnd w:id="124"/>
      <w:bookmarkEnd w:id="125"/>
      <w:bookmarkEnd w:id="126"/>
      <w:r>
        <w:rPr>
          <w:rFonts w:hint="eastAsia"/>
        </w:rPr>
        <w:t xml:space="preserve"> </w:t>
      </w:r>
    </w:p>
    <w:p>
      <w:pPr>
        <w:pStyle w:val="165"/>
        <w:numPr>
          <w:ilvl w:val="0"/>
          <w:numId w:val="0"/>
        </w:numPr>
        <w:ind w:firstLine="420" w:firstLineChars="200"/>
      </w:pPr>
      <w:r>
        <w:rPr>
          <w:rFonts w:hint="eastAsia"/>
        </w:rPr>
        <w:t>应用系统应在司机首次录入时设置定期安全教育警示，司机在规定期限内完成学习或通过考试后方能解锁使用叉车或观光车辆。</w:t>
      </w:r>
    </w:p>
    <w:p>
      <w:pPr>
        <w:pStyle w:val="104"/>
        <w:spacing w:before="312" w:after="312"/>
      </w:pPr>
      <w:bookmarkStart w:id="127" w:name="_Toc6422"/>
      <w:bookmarkStart w:id="128" w:name="_Toc178278140"/>
      <w:bookmarkStart w:id="129" w:name="_Toc178278194"/>
      <w:bookmarkStart w:id="130" w:name="_Toc177512232"/>
      <w:bookmarkStart w:id="131" w:name="_Toc177510379"/>
      <w:r>
        <w:rPr>
          <w:rFonts w:hint="eastAsia"/>
        </w:rPr>
        <w:t>场车大数据平台</w:t>
      </w:r>
      <w:bookmarkEnd w:id="127"/>
      <w:bookmarkEnd w:id="128"/>
      <w:bookmarkEnd w:id="129"/>
      <w:bookmarkEnd w:id="130"/>
      <w:bookmarkEnd w:id="131"/>
    </w:p>
    <w:p>
      <w:pPr>
        <w:pStyle w:val="105"/>
        <w:spacing w:before="156" w:after="156"/>
      </w:pPr>
      <w:bookmarkStart w:id="132" w:name="_Toc177510380"/>
      <w:bookmarkStart w:id="133" w:name="_Toc178278195"/>
      <w:bookmarkStart w:id="134" w:name="_Toc177512233"/>
      <w:bookmarkStart w:id="135" w:name="_Toc10349"/>
      <w:bookmarkStart w:id="136" w:name="_Toc178278141"/>
      <w:r>
        <w:rPr>
          <w:rFonts w:hint="eastAsia"/>
        </w:rPr>
        <w:t>基本要求</w:t>
      </w:r>
      <w:bookmarkEnd w:id="132"/>
      <w:bookmarkEnd w:id="133"/>
      <w:bookmarkEnd w:id="134"/>
      <w:bookmarkEnd w:id="135"/>
      <w:bookmarkEnd w:id="136"/>
    </w:p>
    <w:p>
      <w:pPr>
        <w:pStyle w:val="162"/>
        <w:numPr>
          <w:ilvl w:val="0"/>
          <w:numId w:val="0"/>
        </w:numPr>
        <w:ind w:firstLine="420" w:firstLineChars="200"/>
      </w:pPr>
      <w:r>
        <w:rPr>
          <w:rFonts w:hint="eastAsia"/>
        </w:rPr>
        <w:t>场车大数据平台应支持主备中心和异地容灾。</w:t>
      </w:r>
    </w:p>
    <w:p>
      <w:pPr>
        <w:pStyle w:val="105"/>
        <w:spacing w:before="156" w:after="156"/>
      </w:pPr>
      <w:bookmarkStart w:id="137" w:name="_Toc178278142"/>
      <w:bookmarkStart w:id="138" w:name="_Toc11972"/>
      <w:bookmarkStart w:id="139" w:name="_Toc177510381"/>
      <w:bookmarkStart w:id="140" w:name="_Toc177512234"/>
      <w:bookmarkStart w:id="141" w:name="_Toc178278196"/>
      <w:r>
        <w:rPr>
          <w:rFonts w:hint="eastAsia"/>
        </w:rPr>
        <w:t>下发内容</w:t>
      </w:r>
      <w:bookmarkEnd w:id="137"/>
      <w:bookmarkEnd w:id="138"/>
      <w:bookmarkEnd w:id="139"/>
      <w:bookmarkEnd w:id="140"/>
      <w:bookmarkEnd w:id="141"/>
    </w:p>
    <w:p>
      <w:pPr>
        <w:pStyle w:val="162"/>
        <w:numPr>
          <w:ilvl w:val="0"/>
          <w:numId w:val="0"/>
        </w:numPr>
        <w:ind w:firstLine="420" w:firstLineChars="200"/>
      </w:pPr>
      <w:r>
        <w:rPr>
          <w:rFonts w:hint="eastAsia"/>
        </w:rPr>
        <w:t>大数据平台向各应用系统下发场车基础数据，基础数据应包含以下内容：</w:t>
      </w:r>
    </w:p>
    <w:p>
      <w:pPr>
        <w:pStyle w:val="174"/>
        <w:numPr>
          <w:ilvl w:val="0"/>
          <w:numId w:val="36"/>
        </w:numPr>
      </w:pPr>
      <w:r>
        <w:rPr>
          <w:rFonts w:hint="eastAsia"/>
        </w:rPr>
        <w:t>场车设备信息；</w:t>
      </w:r>
    </w:p>
    <w:p>
      <w:pPr>
        <w:pStyle w:val="174"/>
      </w:pPr>
      <w:r>
        <w:rPr>
          <w:rFonts w:hint="eastAsia"/>
        </w:rPr>
        <w:t>场车检验信息；</w:t>
      </w:r>
    </w:p>
    <w:p>
      <w:pPr>
        <w:pStyle w:val="174"/>
      </w:pPr>
      <w:r>
        <w:rPr>
          <w:rFonts w:hint="eastAsia"/>
        </w:rPr>
        <w:t>场车所有人信息。</w:t>
      </w:r>
    </w:p>
    <w:p>
      <w:pPr>
        <w:pStyle w:val="105"/>
        <w:spacing w:before="156" w:after="156"/>
      </w:pPr>
      <w:bookmarkStart w:id="142" w:name="_Toc6295"/>
      <w:bookmarkStart w:id="143" w:name="_Toc177512235"/>
      <w:bookmarkStart w:id="144" w:name="_Toc177510382"/>
      <w:bookmarkStart w:id="145" w:name="_Toc178278197"/>
      <w:bookmarkStart w:id="146" w:name="_Toc178278143"/>
      <w:r>
        <w:rPr>
          <w:rFonts w:hint="eastAsia"/>
        </w:rPr>
        <w:t>上报内容</w:t>
      </w:r>
      <w:bookmarkEnd w:id="142"/>
      <w:bookmarkEnd w:id="143"/>
      <w:bookmarkEnd w:id="144"/>
      <w:bookmarkEnd w:id="145"/>
      <w:bookmarkEnd w:id="146"/>
    </w:p>
    <w:p>
      <w:pPr>
        <w:pStyle w:val="162"/>
        <w:numPr>
          <w:ilvl w:val="0"/>
          <w:numId w:val="0"/>
        </w:numPr>
        <w:ind w:firstLine="420" w:firstLineChars="200"/>
      </w:pPr>
      <w:r>
        <w:rPr>
          <w:rFonts w:hint="eastAsia"/>
        </w:rPr>
        <w:t>应用系统向大数据平台上报的场车运行数据，运行数据应包含以下内容：</w:t>
      </w:r>
    </w:p>
    <w:p>
      <w:pPr>
        <w:pStyle w:val="174"/>
        <w:numPr>
          <w:ilvl w:val="0"/>
          <w:numId w:val="37"/>
        </w:numPr>
      </w:pPr>
      <w:r>
        <w:rPr>
          <w:rFonts w:hint="eastAsia"/>
        </w:rPr>
        <w:t>场车运行状态信息；</w:t>
      </w:r>
    </w:p>
    <w:p>
      <w:pPr>
        <w:pStyle w:val="174"/>
      </w:pPr>
      <w:r>
        <w:rPr>
          <w:rFonts w:hint="eastAsia"/>
        </w:rPr>
        <w:t>场车位置信息；</w:t>
      </w:r>
    </w:p>
    <w:p>
      <w:pPr>
        <w:pStyle w:val="174"/>
      </w:pPr>
      <w:r>
        <w:rPr>
          <w:rFonts w:hint="eastAsia"/>
        </w:rPr>
        <w:t>统计信息（包括但不限于场车使用单位预警及处理信息）；</w:t>
      </w:r>
    </w:p>
    <w:p>
      <w:pPr>
        <w:pStyle w:val="174"/>
      </w:pPr>
      <w:r>
        <w:rPr>
          <w:rFonts w:hint="eastAsia"/>
        </w:rPr>
        <w:t>场车作业人员信息。</w:t>
      </w:r>
    </w:p>
    <w:p>
      <w:pPr>
        <w:pStyle w:val="104"/>
        <w:spacing w:before="312" w:after="312"/>
      </w:pPr>
      <w:bookmarkStart w:id="147" w:name="_Toc177512236"/>
      <w:bookmarkStart w:id="148" w:name="_Toc178278144"/>
      <w:bookmarkStart w:id="149" w:name="_Toc177510383"/>
      <w:bookmarkStart w:id="150" w:name="_Toc178278198"/>
      <w:bookmarkStart w:id="151" w:name="_Toc22219"/>
      <w:r>
        <w:rPr>
          <w:rFonts w:hint="eastAsia"/>
        </w:rPr>
        <w:t>数据交互</w:t>
      </w:r>
      <w:bookmarkEnd w:id="147"/>
      <w:bookmarkEnd w:id="148"/>
      <w:bookmarkEnd w:id="149"/>
      <w:bookmarkEnd w:id="150"/>
      <w:bookmarkEnd w:id="151"/>
    </w:p>
    <w:p>
      <w:pPr>
        <w:pStyle w:val="105"/>
        <w:spacing w:before="156" w:after="156"/>
      </w:pPr>
      <w:bookmarkStart w:id="152" w:name="_Toc4763"/>
      <w:bookmarkStart w:id="153" w:name="_Toc177510384"/>
      <w:bookmarkStart w:id="154" w:name="_Toc177512237"/>
      <w:bookmarkStart w:id="155" w:name="_Toc178278145"/>
      <w:bookmarkStart w:id="156" w:name="_Toc178278199"/>
      <w:r>
        <w:rPr>
          <w:rFonts w:hint="eastAsia"/>
        </w:rPr>
        <w:t>协议规范</w:t>
      </w:r>
      <w:bookmarkEnd w:id="152"/>
      <w:bookmarkEnd w:id="153"/>
      <w:bookmarkEnd w:id="154"/>
      <w:bookmarkEnd w:id="155"/>
      <w:bookmarkEnd w:id="156"/>
    </w:p>
    <w:p>
      <w:pPr>
        <w:pStyle w:val="65"/>
        <w:spacing w:before="156" w:after="156"/>
      </w:pPr>
      <w:bookmarkStart w:id="157" w:name="_Toc32660"/>
      <w:bookmarkStart w:id="158" w:name="_Toc178278146"/>
      <w:bookmarkStart w:id="159" w:name="_Toc178278200"/>
      <w:bookmarkStart w:id="160" w:name="_Toc177512238"/>
      <w:bookmarkStart w:id="161" w:name="_Toc177510385"/>
      <w:r>
        <w:rPr>
          <w:rFonts w:hint="eastAsia"/>
        </w:rPr>
        <w:t>数据交互协议基础</w:t>
      </w:r>
      <w:bookmarkEnd w:id="157"/>
      <w:bookmarkEnd w:id="158"/>
      <w:bookmarkEnd w:id="159"/>
      <w:bookmarkEnd w:id="160"/>
      <w:bookmarkEnd w:id="161"/>
    </w:p>
    <w:p>
      <w:pPr>
        <w:pStyle w:val="174"/>
        <w:numPr>
          <w:ilvl w:val="0"/>
          <w:numId w:val="38"/>
        </w:numPr>
      </w:pPr>
      <w:r>
        <w:rPr>
          <w:rFonts w:hint="eastAsia"/>
        </w:rPr>
        <w:t xml:space="preserve">物联设备、应用系统与大数据平台之间的通信方式采用 TCP协议； </w:t>
      </w:r>
    </w:p>
    <w:p>
      <w:pPr>
        <w:pStyle w:val="174"/>
      </w:pPr>
      <w:r>
        <w:rPr>
          <w:rFonts w:hint="eastAsia"/>
        </w:rPr>
        <w:t xml:space="preserve">数据类型分为数据类型（NUMBER）以及字符串(STRING)，中文采用GBK编码； </w:t>
      </w:r>
    </w:p>
    <w:p>
      <w:pPr>
        <w:pStyle w:val="174"/>
      </w:pPr>
      <w:r>
        <w:rPr>
          <w:rFonts w:hint="eastAsia"/>
        </w:rPr>
        <w:t xml:space="preserve">传输规则采用标准JSON数据格式进行传输； </w:t>
      </w:r>
    </w:p>
    <w:p>
      <w:pPr>
        <w:pStyle w:val="174"/>
      </w:pPr>
      <w:r>
        <w:rPr>
          <w:rFonts w:hint="eastAsia"/>
        </w:rPr>
        <w:t xml:space="preserve">消息组成，应符合以下要求： </w:t>
      </w:r>
    </w:p>
    <w:p>
      <w:pPr>
        <w:pStyle w:val="109"/>
        <w:numPr>
          <w:ilvl w:val="1"/>
          <w:numId w:val="39"/>
        </w:numPr>
      </w:pPr>
      <w:r>
        <w:rPr>
          <w:rFonts w:hint="eastAsia"/>
        </w:rPr>
        <w:t>每条消息由标识位、 协议标识、消息体、标识位、分隔符组成；消息结构</w:t>
      </w:r>
      <w:r>
        <w:rPr>
          <w:rFonts w:hint="eastAsia"/>
          <w:lang w:eastAsia="zh-CN"/>
        </w:rPr>
        <w:t>见</w:t>
      </w:r>
      <w:r>
        <w:rPr>
          <w:rFonts w:hint="eastAsia"/>
        </w:rPr>
        <w:t>表3</w:t>
      </w:r>
      <w:r>
        <w:rPr>
          <w:rFonts w:hint="eastAsia"/>
          <w:lang w:eastAsia="zh-CN"/>
        </w:rPr>
        <w:t>；</w:t>
      </w:r>
    </w:p>
    <w:p>
      <w:pPr>
        <w:pStyle w:val="112"/>
        <w:spacing w:before="156" w:after="156"/>
      </w:pPr>
      <w:r>
        <w:rPr>
          <w:rFonts w:hint="eastAsia"/>
        </w:rPr>
        <w:t>消息结构</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6"/>
        <w:gridCol w:w="1867"/>
        <w:gridCol w:w="1867"/>
        <w:gridCol w:w="1867"/>
        <w:gridCol w:w="18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66" w:type="dxa"/>
            <w:shd w:val="clear" w:color="auto" w:fill="auto"/>
          </w:tcPr>
          <w:p>
            <w:pPr>
              <w:pStyle w:val="178"/>
            </w:pPr>
            <w:r>
              <w:rPr>
                <w:rFonts w:hint="eastAsia"/>
              </w:rPr>
              <w:t>标识位</w:t>
            </w:r>
          </w:p>
        </w:tc>
        <w:tc>
          <w:tcPr>
            <w:tcW w:w="1867" w:type="dxa"/>
            <w:shd w:val="clear" w:color="auto" w:fill="auto"/>
          </w:tcPr>
          <w:p>
            <w:pPr>
              <w:pStyle w:val="178"/>
            </w:pPr>
            <w:r>
              <w:rPr>
                <w:rFonts w:hint="eastAsia"/>
              </w:rPr>
              <w:t>协议标识</w:t>
            </w:r>
          </w:p>
        </w:tc>
        <w:tc>
          <w:tcPr>
            <w:tcW w:w="1867" w:type="dxa"/>
            <w:shd w:val="clear" w:color="auto" w:fill="auto"/>
          </w:tcPr>
          <w:p>
            <w:pPr>
              <w:pStyle w:val="178"/>
            </w:pPr>
            <w:r>
              <w:rPr>
                <w:rFonts w:hint="eastAsia"/>
              </w:rPr>
              <w:t>消息体</w:t>
            </w:r>
          </w:p>
        </w:tc>
        <w:tc>
          <w:tcPr>
            <w:tcW w:w="1867" w:type="dxa"/>
            <w:shd w:val="clear" w:color="auto" w:fill="auto"/>
          </w:tcPr>
          <w:p>
            <w:pPr>
              <w:pStyle w:val="178"/>
            </w:pPr>
            <w:r>
              <w:rPr>
                <w:rFonts w:hint="eastAsia"/>
              </w:rPr>
              <w:t>标识位</w:t>
            </w:r>
          </w:p>
        </w:tc>
        <w:tc>
          <w:tcPr>
            <w:tcW w:w="1867" w:type="dxa"/>
            <w:shd w:val="clear" w:color="auto" w:fill="auto"/>
          </w:tcPr>
          <w:p>
            <w:pPr>
              <w:pStyle w:val="178"/>
            </w:pPr>
            <w:r>
              <w:rPr>
                <w:rFonts w:hint="eastAsia"/>
              </w:rPr>
              <w:t>分隔符</w:t>
            </w:r>
          </w:p>
        </w:tc>
      </w:tr>
    </w:tbl>
    <w:p>
      <w:pPr>
        <w:pStyle w:val="109"/>
        <w:numPr>
          <w:ilvl w:val="0"/>
          <w:numId w:val="0"/>
        </w:numPr>
        <w:ind w:left="1276"/>
      </w:pPr>
    </w:p>
    <w:p>
      <w:pPr>
        <w:pStyle w:val="109"/>
        <w:numPr>
          <w:ilvl w:val="1"/>
          <w:numId w:val="39"/>
        </w:numPr>
      </w:pPr>
      <w:r>
        <w:rPr>
          <w:rFonts w:hint="eastAsia"/>
        </w:rPr>
        <w:t>标识位：采用</w:t>
      </w:r>
      <w:r>
        <w:rPr>
          <w:rFonts w:hint="eastAsia"/>
          <w:lang w:eastAsia="zh-CN"/>
        </w:rPr>
        <w:t>“</w:t>
      </w:r>
      <w:r>
        <w:rPr>
          <w:rFonts w:hint="eastAsia"/>
        </w:rPr>
        <w:t>{</w:t>
      </w:r>
      <w:r>
        <w:rPr>
          <w:rFonts w:hint="eastAsia"/>
          <w:lang w:eastAsia="zh-CN"/>
        </w:rPr>
        <w:t>”</w:t>
      </w:r>
      <w:r>
        <w:rPr>
          <w:rFonts w:hint="eastAsia"/>
        </w:rPr>
        <w:t>和</w:t>
      </w:r>
      <w:r>
        <w:rPr>
          <w:rFonts w:hint="eastAsia"/>
          <w:lang w:eastAsia="zh-CN"/>
        </w:rPr>
        <w:t>“</w:t>
      </w:r>
      <w:r>
        <w:rPr>
          <w:rFonts w:hint="eastAsia"/>
        </w:rPr>
        <w:t>}</w:t>
      </w:r>
      <w:r>
        <w:rPr>
          <w:rFonts w:hint="eastAsia"/>
          <w:lang w:eastAsia="zh-CN"/>
        </w:rPr>
        <w:t>”分别</w:t>
      </w:r>
      <w:r>
        <w:rPr>
          <w:rFonts w:hint="eastAsia"/>
        </w:rPr>
        <w:t>表示</w:t>
      </w:r>
      <w:r>
        <w:rPr>
          <w:rFonts w:hint="eastAsia"/>
          <w:lang w:eastAsia="zh-CN"/>
        </w:rPr>
        <w:t>消息的</w:t>
      </w:r>
      <w:r>
        <w:rPr>
          <w:rFonts w:hint="eastAsia"/>
        </w:rPr>
        <w:t>开始和结束标识位；</w:t>
      </w:r>
    </w:p>
    <w:p>
      <w:pPr>
        <w:pStyle w:val="109"/>
        <w:numPr>
          <w:ilvl w:val="1"/>
          <w:numId w:val="39"/>
        </w:numPr>
      </w:pPr>
      <w:r>
        <w:rPr>
          <w:rFonts w:hint="eastAsia"/>
        </w:rPr>
        <w:t>协议标识：用来标识协议规则，本协议规则采用ZL；</w:t>
      </w:r>
    </w:p>
    <w:p>
      <w:pPr>
        <w:pStyle w:val="109"/>
        <w:numPr>
          <w:ilvl w:val="1"/>
          <w:numId w:val="39"/>
        </w:numPr>
      </w:pPr>
      <w:r>
        <w:rPr>
          <w:rFonts w:hint="eastAsia"/>
        </w:rPr>
        <w:t>消息体：为混合数组，内容见表4、表5。</w:t>
      </w:r>
    </w:p>
    <w:p>
      <w:pPr>
        <w:pStyle w:val="181"/>
      </w:pPr>
    </w:p>
    <w:p>
      <w:pPr>
        <w:pStyle w:val="181"/>
        <w:numPr>
          <w:ilvl w:val="0"/>
          <w:numId w:val="0"/>
        </w:numPr>
        <w:ind w:left="363"/>
      </w:pPr>
      <w:r>
        <w:rPr>
          <w:rFonts w:hint="eastAsia"/>
        </w:rPr>
        <w:t>发送一条只包含场车车牌号为苏A·09764和时间戳1715850445的数据，封装为JSON数据如下：</w:t>
      </w:r>
    </w:p>
    <w:p>
      <w:pPr>
        <w:pStyle w:val="181"/>
        <w:numPr>
          <w:ilvl w:val="0"/>
          <w:numId w:val="0"/>
        </w:numPr>
        <w:ind w:left="363"/>
      </w:pPr>
      <w:r>
        <w:rPr>
          <w:rFonts w:hint="eastAsia"/>
        </w:rPr>
        <w:t>{"ZL":[10,"苏A·09764",1715850445]}。</w:t>
      </w:r>
    </w:p>
    <w:p>
      <w:pPr>
        <w:pStyle w:val="112"/>
        <w:spacing w:before="156" w:after="156"/>
      </w:pPr>
      <w:r>
        <w:rPr>
          <w:rFonts w:hint="eastAsia"/>
        </w:rPr>
        <w:t>消息体(一)</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3"/>
        <w:gridCol w:w="1842"/>
        <w:gridCol w:w="1276"/>
        <w:gridCol w:w="52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8" w:space="0"/>
              <w:bottom w:val="single" w:color="auto" w:sz="8" w:space="0"/>
            </w:tcBorders>
            <w:shd w:val="clear" w:color="auto" w:fill="auto"/>
          </w:tcPr>
          <w:p>
            <w:pPr>
              <w:pStyle w:val="178"/>
            </w:pPr>
            <w:r>
              <w:rPr>
                <w:rFonts w:hint="eastAsia"/>
              </w:rPr>
              <w:t>索引</w:t>
            </w:r>
          </w:p>
        </w:tc>
        <w:tc>
          <w:tcPr>
            <w:tcW w:w="1842" w:type="dxa"/>
            <w:tcBorders>
              <w:top w:val="single" w:color="auto" w:sz="8" w:space="0"/>
              <w:bottom w:val="single" w:color="auto" w:sz="8" w:space="0"/>
            </w:tcBorders>
            <w:shd w:val="clear" w:color="auto" w:fill="auto"/>
          </w:tcPr>
          <w:p>
            <w:pPr>
              <w:pStyle w:val="178"/>
            </w:pPr>
            <w:r>
              <w:rPr>
                <w:rFonts w:hint="eastAsia"/>
              </w:rPr>
              <w:t>字段</w:t>
            </w:r>
          </w:p>
        </w:tc>
        <w:tc>
          <w:tcPr>
            <w:tcW w:w="1276" w:type="dxa"/>
            <w:tcBorders>
              <w:top w:val="single" w:color="auto" w:sz="8" w:space="0"/>
              <w:bottom w:val="single" w:color="auto" w:sz="8" w:space="0"/>
            </w:tcBorders>
            <w:shd w:val="clear" w:color="auto" w:fill="auto"/>
          </w:tcPr>
          <w:p>
            <w:pPr>
              <w:pStyle w:val="178"/>
            </w:pPr>
            <w:r>
              <w:rPr>
                <w:rFonts w:hint="eastAsia"/>
              </w:rPr>
              <w:t>数据类型</w:t>
            </w:r>
          </w:p>
        </w:tc>
        <w:tc>
          <w:tcPr>
            <w:tcW w:w="5233" w:type="dxa"/>
            <w:tcBorders>
              <w:top w:val="single" w:color="auto" w:sz="8" w:space="0"/>
              <w:bottom w:val="single" w:color="auto" w:sz="8" w:space="0"/>
            </w:tcBorders>
            <w:shd w:val="clear" w:color="auto" w:fill="auto"/>
          </w:tcPr>
          <w:p>
            <w:pPr>
              <w:pStyle w:val="178"/>
            </w:pPr>
            <w:r>
              <w:rPr>
                <w:rFonts w:hint="eastAsia"/>
              </w:rPr>
              <w:t>描述及要求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tcPr>
          <w:p>
            <w:pPr>
              <w:pStyle w:val="178"/>
            </w:pPr>
            <w:r>
              <w:rPr>
                <w:rFonts w:hint="eastAsia"/>
              </w:rPr>
              <w:t>0</w:t>
            </w:r>
          </w:p>
        </w:tc>
        <w:tc>
          <w:tcPr>
            <w:tcW w:w="1842" w:type="dxa"/>
            <w:shd w:val="clear" w:color="auto" w:fill="auto"/>
          </w:tcPr>
          <w:p>
            <w:pPr>
              <w:pStyle w:val="178"/>
            </w:pPr>
            <w:r>
              <w:rPr>
                <w:rFonts w:hint="eastAsia"/>
              </w:rPr>
              <w:t>消息ID</w:t>
            </w:r>
          </w:p>
        </w:tc>
        <w:tc>
          <w:tcPr>
            <w:tcW w:w="1276" w:type="dxa"/>
            <w:shd w:val="clear" w:color="auto" w:fill="auto"/>
          </w:tcPr>
          <w:p>
            <w:pPr>
              <w:pStyle w:val="178"/>
            </w:pPr>
            <w:r>
              <w:rPr>
                <w:rFonts w:hint="eastAsia"/>
              </w:rPr>
              <w:t>NUMBER</w:t>
            </w:r>
          </w:p>
        </w:tc>
        <w:tc>
          <w:tcPr>
            <w:tcW w:w="5233" w:type="dxa"/>
            <w:shd w:val="clear" w:color="auto" w:fill="auto"/>
          </w:tcPr>
          <w:p>
            <w:pPr>
              <w:pStyle w:val="178"/>
              <w:jc w:val="left"/>
            </w:pPr>
            <w:r>
              <w:rPr>
                <w:rFonts w:hint="eastAsia"/>
              </w:rPr>
              <w:t>按照表6要求上传</w:t>
            </w:r>
          </w:p>
        </w:tc>
      </w:tr>
    </w:tbl>
    <w:p>
      <w:pPr>
        <w:pStyle w:val="56"/>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表4  消息体(一)</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3"/>
        <w:gridCol w:w="1842"/>
        <w:gridCol w:w="1276"/>
        <w:gridCol w:w="52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8" w:space="0"/>
              <w:bottom w:val="single" w:color="auto" w:sz="8" w:space="0"/>
            </w:tcBorders>
            <w:shd w:val="clear" w:color="auto" w:fill="auto"/>
          </w:tcPr>
          <w:p>
            <w:pPr>
              <w:pStyle w:val="178"/>
            </w:pPr>
            <w:r>
              <w:rPr>
                <w:rFonts w:hint="eastAsia"/>
              </w:rPr>
              <w:t>索引</w:t>
            </w:r>
          </w:p>
        </w:tc>
        <w:tc>
          <w:tcPr>
            <w:tcW w:w="1842" w:type="dxa"/>
            <w:tcBorders>
              <w:top w:val="single" w:color="auto" w:sz="8" w:space="0"/>
              <w:bottom w:val="single" w:color="auto" w:sz="8" w:space="0"/>
            </w:tcBorders>
            <w:shd w:val="clear" w:color="auto" w:fill="auto"/>
          </w:tcPr>
          <w:p>
            <w:pPr>
              <w:pStyle w:val="178"/>
            </w:pPr>
            <w:r>
              <w:rPr>
                <w:rFonts w:hint="eastAsia"/>
              </w:rPr>
              <w:t>字段</w:t>
            </w:r>
          </w:p>
        </w:tc>
        <w:tc>
          <w:tcPr>
            <w:tcW w:w="1276" w:type="dxa"/>
            <w:tcBorders>
              <w:top w:val="single" w:color="auto" w:sz="8" w:space="0"/>
              <w:bottom w:val="single" w:color="auto" w:sz="8" w:space="0"/>
            </w:tcBorders>
            <w:shd w:val="clear" w:color="auto" w:fill="auto"/>
          </w:tcPr>
          <w:p>
            <w:pPr>
              <w:pStyle w:val="178"/>
            </w:pPr>
            <w:r>
              <w:rPr>
                <w:rFonts w:hint="eastAsia"/>
              </w:rPr>
              <w:t>数据类型</w:t>
            </w:r>
          </w:p>
        </w:tc>
        <w:tc>
          <w:tcPr>
            <w:tcW w:w="5233" w:type="dxa"/>
            <w:tcBorders>
              <w:top w:val="single" w:color="auto" w:sz="8" w:space="0"/>
              <w:bottom w:val="single" w:color="auto" w:sz="8" w:space="0"/>
            </w:tcBorders>
            <w:shd w:val="clear" w:color="auto" w:fill="auto"/>
          </w:tcPr>
          <w:p>
            <w:pPr>
              <w:pStyle w:val="178"/>
            </w:pPr>
            <w:r>
              <w:rPr>
                <w:rFonts w:hint="eastAsia"/>
              </w:rPr>
              <w:t>描述及要求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tcPr>
          <w:p>
            <w:pPr>
              <w:pStyle w:val="178"/>
            </w:pPr>
            <w:r>
              <w:rPr>
                <w:rFonts w:hint="eastAsia"/>
              </w:rPr>
              <w:t>1</w:t>
            </w:r>
          </w:p>
        </w:tc>
        <w:tc>
          <w:tcPr>
            <w:tcW w:w="1842" w:type="dxa"/>
            <w:shd w:val="clear" w:color="auto" w:fill="auto"/>
          </w:tcPr>
          <w:p>
            <w:pPr>
              <w:pStyle w:val="178"/>
            </w:pPr>
            <w:r>
              <w:rPr>
                <w:rFonts w:hint="eastAsia"/>
              </w:rPr>
              <w:t>场车车牌号</w:t>
            </w:r>
          </w:p>
        </w:tc>
        <w:tc>
          <w:tcPr>
            <w:tcW w:w="1276" w:type="dxa"/>
            <w:shd w:val="clear" w:color="auto" w:fill="auto"/>
          </w:tcPr>
          <w:p>
            <w:pPr>
              <w:pStyle w:val="178"/>
            </w:pPr>
            <w:r>
              <w:rPr>
                <w:rFonts w:hint="eastAsia"/>
              </w:rPr>
              <w:t>STRING</w:t>
            </w:r>
          </w:p>
        </w:tc>
        <w:tc>
          <w:tcPr>
            <w:tcW w:w="5233" w:type="dxa"/>
            <w:shd w:val="clear" w:color="auto" w:fill="auto"/>
          </w:tcPr>
          <w:p>
            <w:pPr>
              <w:pStyle w:val="178"/>
              <w:jc w:val="left"/>
            </w:pPr>
            <w:r>
              <w:rPr>
                <w:rFonts w:hint="eastAsia"/>
              </w:rPr>
              <w:t>见《特种设备使用管理规则》TSG 08—2017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tcPr>
          <w:p>
            <w:pPr>
              <w:pStyle w:val="178"/>
            </w:pPr>
            <w:r>
              <w:rPr>
                <w:rFonts w:hint="eastAsia"/>
              </w:rPr>
              <w:t>2</w:t>
            </w:r>
          </w:p>
        </w:tc>
        <w:tc>
          <w:tcPr>
            <w:tcW w:w="1842" w:type="dxa"/>
            <w:shd w:val="clear" w:color="auto" w:fill="auto"/>
          </w:tcPr>
          <w:p>
            <w:pPr>
              <w:pStyle w:val="178"/>
            </w:pPr>
            <w:r>
              <w:rPr>
                <w:rFonts w:hint="eastAsia"/>
              </w:rPr>
              <w:t>应答/上报时间</w:t>
            </w:r>
          </w:p>
        </w:tc>
        <w:tc>
          <w:tcPr>
            <w:tcW w:w="1276" w:type="dxa"/>
            <w:shd w:val="clear" w:color="auto" w:fill="auto"/>
          </w:tcPr>
          <w:p>
            <w:pPr>
              <w:pStyle w:val="178"/>
            </w:pPr>
            <w:r>
              <w:rPr>
                <w:rFonts w:hint="eastAsia"/>
              </w:rPr>
              <w:t>NUMBER</w:t>
            </w:r>
          </w:p>
        </w:tc>
        <w:tc>
          <w:tcPr>
            <w:tcW w:w="5233" w:type="dxa"/>
            <w:shd w:val="clear" w:color="auto" w:fill="auto"/>
          </w:tcPr>
          <w:p>
            <w:pPr>
              <w:pStyle w:val="178"/>
              <w:jc w:val="left"/>
            </w:pPr>
            <w:r>
              <w:rPr>
                <w:rFonts w:hint="eastAsia"/>
              </w:rPr>
              <w:t>时间戳，单位：秒，指场车物联设备发送报文时的时间或大数据平台与应用系统响应物联设备的时间</w:t>
            </w:r>
          </w:p>
        </w:tc>
      </w:tr>
    </w:tbl>
    <w:p>
      <w:pPr>
        <w:pStyle w:val="112"/>
        <w:spacing w:before="156" w:after="156"/>
      </w:pPr>
      <w:r>
        <w:rPr>
          <w:rFonts w:hint="eastAsia"/>
        </w:rPr>
        <w:t>消息体(二)</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tcPr>
          <w:p>
            <w:pPr>
              <w:pStyle w:val="178"/>
            </w:pPr>
            <w:r>
              <w:rPr>
                <w:rFonts w:hint="eastAsia"/>
              </w:rPr>
              <w:t>消息ID</w:t>
            </w:r>
          </w:p>
        </w:tc>
        <w:tc>
          <w:tcPr>
            <w:tcW w:w="4667" w:type="dxa"/>
            <w:tcBorders>
              <w:top w:val="single" w:color="auto" w:sz="8" w:space="0"/>
              <w:bottom w:val="single" w:color="auto" w:sz="8" w:space="0"/>
            </w:tcBorders>
            <w:shd w:val="clear" w:color="auto" w:fill="auto"/>
          </w:tcPr>
          <w:p>
            <w:pPr>
              <w:pStyle w:val="178"/>
            </w:pPr>
            <w:r>
              <w:rPr>
                <w:rFonts w:hint="eastAsia"/>
              </w:rPr>
              <w:t>包描述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tcPr>
          <w:p>
            <w:pPr>
              <w:pStyle w:val="178"/>
            </w:pPr>
            <w:r>
              <w:rPr>
                <w:rFonts w:hint="eastAsia"/>
              </w:rPr>
              <w:t>10</w:t>
            </w:r>
          </w:p>
        </w:tc>
        <w:tc>
          <w:tcPr>
            <w:tcW w:w="4667" w:type="dxa"/>
            <w:tcBorders>
              <w:top w:val="single" w:color="auto" w:sz="8" w:space="0"/>
            </w:tcBorders>
            <w:shd w:val="clear" w:color="auto" w:fill="auto"/>
          </w:tcPr>
          <w:p>
            <w:pPr>
              <w:pStyle w:val="178"/>
            </w:pPr>
            <w:r>
              <w:rPr>
                <w:rFonts w:hint="eastAsia"/>
              </w:rPr>
              <w:t>心跳包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pPr>
              <w:pStyle w:val="178"/>
            </w:pPr>
            <w:r>
              <w:rPr>
                <w:rFonts w:hint="eastAsia"/>
              </w:rPr>
              <w:t>20</w:t>
            </w:r>
          </w:p>
        </w:tc>
        <w:tc>
          <w:tcPr>
            <w:tcW w:w="4667" w:type="dxa"/>
            <w:shd w:val="clear" w:color="auto" w:fill="auto"/>
          </w:tcPr>
          <w:p>
            <w:pPr>
              <w:pStyle w:val="178"/>
            </w:pPr>
            <w:r>
              <w:rPr>
                <w:rFonts w:hint="eastAsia"/>
              </w:rPr>
              <w:t>物联设备上电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pPr>
              <w:pStyle w:val="178"/>
            </w:pPr>
            <w:r>
              <w:rPr>
                <w:rFonts w:hint="eastAsia"/>
              </w:rPr>
              <w:t>30</w:t>
            </w:r>
          </w:p>
        </w:tc>
        <w:tc>
          <w:tcPr>
            <w:tcW w:w="4667" w:type="dxa"/>
            <w:shd w:val="clear" w:color="auto" w:fill="auto"/>
          </w:tcPr>
          <w:p>
            <w:pPr>
              <w:pStyle w:val="178"/>
            </w:pPr>
            <w:r>
              <w:rPr>
                <w:rFonts w:hint="eastAsia"/>
              </w:rPr>
              <w:t>开关机消息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pPr>
              <w:pStyle w:val="178"/>
            </w:pPr>
            <w:r>
              <w:rPr>
                <w:rFonts w:hint="eastAsia"/>
              </w:rPr>
              <w:t>40</w:t>
            </w:r>
          </w:p>
        </w:tc>
        <w:tc>
          <w:tcPr>
            <w:tcW w:w="4667" w:type="dxa"/>
            <w:shd w:val="clear" w:color="auto" w:fill="auto"/>
          </w:tcPr>
          <w:p>
            <w:pPr>
              <w:pStyle w:val="178"/>
            </w:pPr>
            <w:r>
              <w:rPr>
                <w:rFonts w:hint="eastAsia"/>
              </w:rPr>
              <w:t>运行轨迹消息</w:t>
            </w:r>
          </w:p>
        </w:tc>
      </w:tr>
    </w:tbl>
    <w:p>
      <w:pPr>
        <w:pStyle w:val="65"/>
        <w:spacing w:before="156" w:after="156"/>
      </w:pPr>
      <w:bookmarkStart w:id="162" w:name="_Toc178278201"/>
      <w:bookmarkStart w:id="163" w:name="_Toc177512239"/>
      <w:bookmarkStart w:id="164" w:name="_Toc178278147"/>
      <w:bookmarkStart w:id="165" w:name="_Toc3166"/>
      <w:bookmarkStart w:id="166" w:name="_Toc177510386"/>
      <w:r>
        <w:rPr>
          <w:rFonts w:hint="eastAsia"/>
        </w:rPr>
        <w:t>基本协议内容</w:t>
      </w:r>
      <w:bookmarkEnd w:id="162"/>
      <w:bookmarkEnd w:id="163"/>
      <w:bookmarkEnd w:id="164"/>
      <w:bookmarkEnd w:id="165"/>
      <w:bookmarkEnd w:id="166"/>
    </w:p>
    <w:p>
      <w:pPr>
        <w:pStyle w:val="174"/>
        <w:numPr>
          <w:ilvl w:val="0"/>
          <w:numId w:val="40"/>
        </w:numPr>
      </w:pPr>
      <w:r>
        <w:rPr>
          <w:rFonts w:hint="eastAsia"/>
        </w:rPr>
        <w:t>数据协议对接成功后，大数据平台与应用系统统一采用通用的消息体进行应答，消息格式：{"ZL":[消息ID,场车车牌号,应答时间]}；</w:t>
      </w:r>
    </w:p>
    <w:p>
      <w:pPr>
        <w:pStyle w:val="174"/>
      </w:pPr>
      <w:r>
        <w:rPr>
          <w:rFonts w:hint="eastAsia"/>
        </w:rPr>
        <w:t>心跳包消息格式：{"ZL":[消息ID,场车车牌号,上报时间]}；</w:t>
      </w:r>
    </w:p>
    <w:p>
      <w:pPr>
        <w:pStyle w:val="174"/>
      </w:pPr>
      <w:r>
        <w:rPr>
          <w:rFonts w:hint="eastAsia"/>
        </w:rPr>
        <w:t>物联设备上电消息格式：{"ZL":[消息ID,场车车牌号,设备上电时间戳,上报时间]}；</w:t>
      </w:r>
    </w:p>
    <w:p>
      <w:pPr>
        <w:pStyle w:val="174"/>
      </w:pPr>
      <w:r>
        <w:rPr>
          <w:rFonts w:hint="eastAsia"/>
        </w:rPr>
        <w:t>开关机消息格式：{"ZL":[消息ID,场车车牌号,开关机标识,操作时间戳,物联设备厂家,车牌号,设备代码,纬度,经度,作业人员姓名,作业人员身份证号,是否存在司机防护约束装置,是否存在定位装置,是否存在座位感知装置,上报时间]}。开关机标识与装置配置情况见表6；</w:t>
      </w:r>
    </w:p>
    <w:p>
      <w:pPr>
        <w:pStyle w:val="112"/>
        <w:spacing w:before="156" w:after="156"/>
      </w:pPr>
      <w:r>
        <w:rPr>
          <w:rFonts w:hint="eastAsia"/>
        </w:rPr>
        <w:t>开关机标识与装置配置情况</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tcPr>
          <w:p>
            <w:pPr>
              <w:pStyle w:val="178"/>
            </w:pPr>
            <w:r>
              <w:rPr>
                <w:rFonts w:hint="eastAsia"/>
              </w:rPr>
              <w:t>字段名</w:t>
            </w:r>
          </w:p>
        </w:tc>
        <w:tc>
          <w:tcPr>
            <w:tcW w:w="4667" w:type="dxa"/>
            <w:tcBorders>
              <w:top w:val="single" w:color="auto" w:sz="8" w:space="0"/>
              <w:bottom w:val="single" w:color="auto" w:sz="8" w:space="0"/>
            </w:tcBorders>
            <w:shd w:val="clear" w:color="auto" w:fill="auto"/>
          </w:tcPr>
          <w:p>
            <w:pPr>
              <w:pStyle w:val="178"/>
            </w:pPr>
            <w:r>
              <w:rPr>
                <w:rFonts w:hint="eastAsia"/>
              </w:rPr>
              <w:t>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tcPr>
          <w:p>
            <w:pPr>
              <w:pStyle w:val="178"/>
            </w:pPr>
            <w:r>
              <w:rPr>
                <w:rFonts w:hint="eastAsia"/>
              </w:rPr>
              <w:t>开关机标识</w:t>
            </w:r>
          </w:p>
        </w:tc>
        <w:tc>
          <w:tcPr>
            <w:tcW w:w="4667" w:type="dxa"/>
            <w:tcBorders>
              <w:top w:val="single" w:color="auto" w:sz="8" w:space="0"/>
            </w:tcBorders>
            <w:shd w:val="clear" w:color="auto" w:fill="auto"/>
          </w:tcPr>
          <w:p>
            <w:pPr>
              <w:pStyle w:val="178"/>
            </w:pPr>
            <w:r>
              <w:rPr>
                <w:rFonts w:hint="eastAsia"/>
              </w:rPr>
              <w:t>0：关机，1：开机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pPr>
              <w:pStyle w:val="178"/>
            </w:pPr>
            <w:r>
              <w:rPr>
                <w:rFonts w:hint="eastAsia"/>
              </w:rPr>
              <w:t>是否存在司机防护约束装置</w:t>
            </w:r>
          </w:p>
        </w:tc>
        <w:tc>
          <w:tcPr>
            <w:tcW w:w="4667" w:type="dxa"/>
            <w:shd w:val="clear" w:color="auto" w:fill="auto"/>
          </w:tcPr>
          <w:p>
            <w:pPr>
              <w:pStyle w:val="178"/>
            </w:pPr>
            <w:r>
              <w:rPr>
                <w:rFonts w:hint="eastAsia"/>
              </w:rPr>
              <w:t>0：否，1：是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pPr>
              <w:pStyle w:val="178"/>
            </w:pPr>
            <w:r>
              <w:rPr>
                <w:rFonts w:hint="eastAsia"/>
              </w:rPr>
              <w:t>是否存在定位装置</w:t>
            </w:r>
          </w:p>
        </w:tc>
        <w:tc>
          <w:tcPr>
            <w:tcW w:w="4667" w:type="dxa"/>
            <w:shd w:val="clear" w:color="auto" w:fill="auto"/>
          </w:tcPr>
          <w:p>
            <w:pPr>
              <w:pStyle w:val="178"/>
            </w:pPr>
            <w:r>
              <w:rPr>
                <w:rFonts w:hint="eastAsia"/>
              </w:rPr>
              <w:t>0：否，1：是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pPr>
              <w:pStyle w:val="178"/>
            </w:pPr>
            <w:r>
              <w:rPr>
                <w:rFonts w:hint="eastAsia"/>
              </w:rPr>
              <w:t>是否存在座位感知装置</w:t>
            </w:r>
          </w:p>
        </w:tc>
        <w:tc>
          <w:tcPr>
            <w:tcW w:w="4667" w:type="dxa"/>
            <w:shd w:val="clear" w:color="auto" w:fill="auto"/>
          </w:tcPr>
          <w:p>
            <w:pPr>
              <w:pStyle w:val="178"/>
            </w:pPr>
            <w:r>
              <w:rPr>
                <w:rFonts w:hint="eastAsia"/>
              </w:rPr>
              <w:t>0：否，1：是</w:t>
            </w:r>
          </w:p>
        </w:tc>
      </w:tr>
    </w:tbl>
    <w:p>
      <w:pPr>
        <w:pStyle w:val="174"/>
        <w:numPr>
          <w:ilvl w:val="0"/>
          <w:numId w:val="0"/>
        </w:numPr>
        <w:ind w:left="851"/>
      </w:pPr>
    </w:p>
    <w:p>
      <w:pPr>
        <w:pStyle w:val="174"/>
      </w:pPr>
      <w:r>
        <w:rPr>
          <w:rFonts w:hint="eastAsia"/>
        </w:rPr>
        <w:t>运行轨迹消息格式：{"ZL":[消息ID,场车车牌号,设备代码,作业人员姓名,作业人员证件号码,信号可信度,上报时间,[经度,纬度,记录轨迹时间],[经度,纬度,记录轨迹时间]...]}。轨迹间隔间隔不高于2分钟，过短距离按实际行程时间计算，不得高于实际行程的1/10；</w:t>
      </w:r>
    </w:p>
    <w:p>
      <w:pPr>
        <w:pStyle w:val="179"/>
      </w:pPr>
      <w:r>
        <w:rPr>
          <w:rFonts w:hint="eastAsia"/>
        </w:rPr>
        <w:t>信号可信度指卫星定位时，收到的卫星数量。</w:t>
      </w:r>
    </w:p>
    <w:p>
      <w:pPr>
        <w:pStyle w:val="174"/>
      </w:pPr>
      <w:r>
        <w:rPr>
          <w:rFonts w:hint="eastAsia"/>
        </w:rPr>
        <w:t>预警消息格式：{"ZL":[消息ID,场车车牌号,设备代码,作业人员姓名,作业人员证件号码,预警类别,预警类型,触发时间,上报时间]}。预警类别与预警类型见表7。</w:t>
      </w:r>
    </w:p>
    <w:p>
      <w:pPr>
        <w:pStyle w:val="112"/>
        <w:spacing w:before="156" w:after="156"/>
      </w:pPr>
      <w:r>
        <w:rPr>
          <w:rFonts w:hint="eastAsia"/>
        </w:rPr>
        <w:t>预警类别与预警类型</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tcPr>
          <w:p>
            <w:pPr>
              <w:pStyle w:val="178"/>
            </w:pPr>
            <w:r>
              <w:rPr>
                <w:rFonts w:hint="eastAsia"/>
              </w:rPr>
              <w:t>字段名</w:t>
            </w:r>
          </w:p>
        </w:tc>
        <w:tc>
          <w:tcPr>
            <w:tcW w:w="4667" w:type="dxa"/>
            <w:tcBorders>
              <w:top w:val="single" w:color="auto" w:sz="8" w:space="0"/>
              <w:bottom w:val="single" w:color="auto" w:sz="8" w:space="0"/>
            </w:tcBorders>
            <w:shd w:val="clear" w:color="auto" w:fill="auto"/>
          </w:tcPr>
          <w:p>
            <w:pPr>
              <w:pStyle w:val="178"/>
            </w:pPr>
            <w:r>
              <w:rPr>
                <w:rFonts w:hint="eastAsia"/>
              </w:rPr>
              <w:t>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tcPr>
          <w:p>
            <w:pPr>
              <w:pStyle w:val="178"/>
            </w:pPr>
            <w:r>
              <w:rPr>
                <w:rFonts w:hint="eastAsia"/>
              </w:rPr>
              <w:t>预警类别</w:t>
            </w:r>
          </w:p>
        </w:tc>
        <w:tc>
          <w:tcPr>
            <w:tcW w:w="4667" w:type="dxa"/>
            <w:tcBorders>
              <w:top w:val="single" w:color="auto" w:sz="8" w:space="0"/>
            </w:tcBorders>
            <w:shd w:val="clear" w:color="auto" w:fill="auto"/>
          </w:tcPr>
          <w:p>
            <w:pPr>
              <w:pStyle w:val="178"/>
            </w:pPr>
            <w:r>
              <w:rPr>
                <w:rFonts w:hint="eastAsia"/>
              </w:rPr>
              <w:t>1：未系安全带 ，2：超速 ，3：无证驾驶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tcPr>
          <w:p>
            <w:pPr>
              <w:pStyle w:val="178"/>
            </w:pPr>
            <w:r>
              <w:rPr>
                <w:rFonts w:hint="eastAsia"/>
              </w:rPr>
              <w:t>预警类型</w:t>
            </w:r>
          </w:p>
        </w:tc>
        <w:tc>
          <w:tcPr>
            <w:tcW w:w="4667" w:type="dxa"/>
            <w:shd w:val="clear" w:color="auto" w:fill="auto"/>
          </w:tcPr>
          <w:p>
            <w:pPr>
              <w:pStyle w:val="178"/>
            </w:pPr>
            <w:r>
              <w:rPr>
                <w:rFonts w:hint="eastAsia"/>
              </w:rPr>
              <w:t>0：预警消除，1：预警发生</w:t>
            </w:r>
          </w:p>
        </w:tc>
      </w:tr>
    </w:tbl>
    <w:p>
      <w:pPr>
        <w:pStyle w:val="105"/>
        <w:spacing w:before="156" w:after="156"/>
      </w:pPr>
      <w:r>
        <w:rPr>
          <w:rFonts w:hint="eastAsia"/>
        </w:rPr>
        <w:t>　</w:t>
      </w:r>
      <w:bookmarkStart w:id="167" w:name="_Toc178278148"/>
      <w:bookmarkStart w:id="168" w:name="_Toc177512240"/>
      <w:bookmarkStart w:id="169" w:name="_Toc3085"/>
      <w:bookmarkStart w:id="170" w:name="_Toc177510387"/>
      <w:bookmarkStart w:id="171" w:name="_Toc178278202"/>
      <w:r>
        <w:rPr>
          <w:rFonts w:hint="eastAsia"/>
        </w:rPr>
        <w:t>数据传输要求</w:t>
      </w:r>
      <w:bookmarkEnd w:id="167"/>
      <w:bookmarkEnd w:id="168"/>
      <w:bookmarkEnd w:id="169"/>
      <w:bookmarkEnd w:id="170"/>
      <w:bookmarkEnd w:id="171"/>
    </w:p>
    <w:p>
      <w:pPr>
        <w:pStyle w:val="165"/>
      </w:pPr>
      <w:r>
        <w:rPr>
          <w:rFonts w:hint="eastAsia"/>
        </w:rPr>
        <w:t>物联设备与应用系统数据交互，数据交互标准可由各应用系统开发商自行定义，但不得低于8.1.1的要求。</w:t>
      </w:r>
    </w:p>
    <w:p>
      <w:pPr>
        <w:pStyle w:val="165"/>
        <w:bidi w:val="0"/>
        <w:rPr>
          <w:rFonts w:hint="eastAsia" w:ascii="黑体" w:hAnsi="黑体" w:eastAsia="黑体"/>
        </w:rPr>
      </w:pPr>
      <w:r>
        <w:rPr>
          <w:rFonts w:hint="eastAsia"/>
        </w:rPr>
        <w:t>为保证数据的真实性，车辆上物联设备需要定时把数据上传到大数据平台。在车上的物联设备处于休眠期间，监控人员可以通过大数据平台唤醒该设备以实现监控</w:t>
      </w:r>
      <w:r>
        <w:rPr>
          <w:rFonts w:hint="eastAsia" w:ascii="黑体" w:hAnsi="黑体" w:eastAsia="黑体"/>
        </w:rPr>
        <w:t>。</w:t>
      </w:r>
    </w:p>
    <w:p>
      <w:pPr>
        <w:pStyle w:val="104"/>
        <w:spacing w:before="312" w:after="312"/>
      </w:pPr>
      <w:bookmarkStart w:id="172" w:name="_Toc177510388"/>
      <w:bookmarkStart w:id="173" w:name="_Toc178278203"/>
      <w:bookmarkStart w:id="174" w:name="_Toc30540"/>
      <w:bookmarkStart w:id="175" w:name="_Toc177512241"/>
      <w:bookmarkStart w:id="176" w:name="_Toc178278149"/>
      <w:r>
        <w:rPr>
          <w:rFonts w:hint="eastAsia"/>
        </w:rPr>
        <w:t>数据安全</w:t>
      </w:r>
      <w:bookmarkEnd w:id="172"/>
      <w:bookmarkEnd w:id="173"/>
      <w:bookmarkEnd w:id="174"/>
      <w:bookmarkEnd w:id="175"/>
      <w:bookmarkEnd w:id="176"/>
    </w:p>
    <w:p>
      <w:pPr>
        <w:pStyle w:val="105"/>
        <w:spacing w:before="156" w:after="156"/>
      </w:pPr>
      <w:bookmarkStart w:id="177" w:name="_Toc178278204"/>
      <w:bookmarkStart w:id="178" w:name="_Toc177512242"/>
      <w:bookmarkStart w:id="179" w:name="_Toc8540"/>
      <w:bookmarkStart w:id="180" w:name="_Toc177510389"/>
      <w:bookmarkStart w:id="181" w:name="_Toc178278150"/>
      <w:r>
        <w:rPr>
          <w:rFonts w:hint="eastAsia"/>
        </w:rPr>
        <w:t>风险识别和风险管控</w:t>
      </w:r>
      <w:bookmarkEnd w:id="177"/>
      <w:bookmarkEnd w:id="178"/>
      <w:bookmarkEnd w:id="179"/>
      <w:bookmarkEnd w:id="180"/>
      <w:bookmarkEnd w:id="181"/>
    </w:p>
    <w:p>
      <w:pPr>
        <w:pStyle w:val="162"/>
        <w:numPr>
          <w:ilvl w:val="0"/>
          <w:numId w:val="0"/>
        </w:numPr>
        <w:ind w:firstLine="420" w:firstLineChars="200"/>
      </w:pPr>
      <w:r>
        <w:rPr>
          <w:rFonts w:hint="eastAsia"/>
        </w:rPr>
        <w:t>场车所有者、应用系统开发商应对系统产生的数据进行风险识别和风险管控。</w:t>
      </w:r>
    </w:p>
    <w:p>
      <w:pPr>
        <w:pStyle w:val="174"/>
        <w:numPr>
          <w:ilvl w:val="0"/>
          <w:numId w:val="41"/>
        </w:numPr>
      </w:pPr>
      <w:r>
        <w:rPr>
          <w:rFonts w:hint="eastAsia"/>
        </w:rPr>
        <w:t>采取有效措施保护和备份各自存储的重要电子信息、数据，并防止未经授权者侵入或修改；</w:t>
      </w:r>
    </w:p>
    <w:p>
      <w:pPr>
        <w:pStyle w:val="174"/>
      </w:pPr>
      <w:r>
        <w:rPr>
          <w:rFonts w:hint="eastAsia"/>
        </w:rPr>
        <w:t>信息数据和文件的传输应有适当的保护手段，以防止文件被修改。</w:t>
      </w:r>
    </w:p>
    <w:p>
      <w:pPr>
        <w:pStyle w:val="105"/>
        <w:spacing w:before="156" w:after="156"/>
      </w:pPr>
      <w:bookmarkStart w:id="182" w:name="_Toc177510390"/>
      <w:bookmarkStart w:id="183" w:name="_Toc178278151"/>
      <w:bookmarkStart w:id="184" w:name="_Toc178278205"/>
      <w:bookmarkStart w:id="185" w:name="_Toc8111"/>
      <w:bookmarkStart w:id="186" w:name="_Toc177512243"/>
      <w:r>
        <w:rPr>
          <w:rFonts w:hint="eastAsia"/>
        </w:rPr>
        <w:t>传输与存储安全</w:t>
      </w:r>
      <w:bookmarkEnd w:id="182"/>
      <w:bookmarkEnd w:id="183"/>
      <w:bookmarkEnd w:id="184"/>
      <w:bookmarkEnd w:id="185"/>
      <w:bookmarkEnd w:id="186"/>
    </w:p>
    <w:p>
      <w:pPr>
        <w:pStyle w:val="162"/>
        <w:numPr>
          <w:ilvl w:val="0"/>
          <w:numId w:val="0"/>
        </w:numPr>
        <w:ind w:firstLine="420" w:firstLineChars="200"/>
      </w:pPr>
      <w:r>
        <w:rPr>
          <w:rFonts w:hint="eastAsia"/>
        </w:rPr>
        <w:t>物联设备和精准定位系统的定位、数据采集和传输，应用系统服务器设置、网络数据存储和应用等,必须遵守国务院自然资源主管部门、网络与信息安全行业相关管理部门的相关法律和法规规定。</w:t>
      </w:r>
    </w:p>
    <w:p>
      <w:pPr>
        <w:pStyle w:val="104"/>
        <w:spacing w:before="312" w:after="312"/>
      </w:pPr>
      <w:bookmarkStart w:id="187" w:name="_Toc178278206"/>
      <w:bookmarkStart w:id="188" w:name="_Toc178278152"/>
      <w:bookmarkStart w:id="189" w:name="_Toc12127"/>
      <w:bookmarkStart w:id="190" w:name="_Toc177510391"/>
      <w:bookmarkStart w:id="191" w:name="_Toc177512244"/>
      <w:r>
        <w:rPr>
          <w:rFonts w:hint="eastAsia"/>
        </w:rPr>
        <w:t>评价验证方法</w:t>
      </w:r>
      <w:bookmarkEnd w:id="187"/>
      <w:bookmarkEnd w:id="188"/>
      <w:bookmarkEnd w:id="189"/>
      <w:bookmarkEnd w:id="190"/>
      <w:bookmarkEnd w:id="191"/>
      <w:r>
        <w:rPr>
          <w:rFonts w:hint="eastAsia"/>
        </w:rPr>
        <w:t xml:space="preserve"> </w:t>
      </w:r>
    </w:p>
    <w:p>
      <w:pPr>
        <w:pStyle w:val="162"/>
        <w:numPr>
          <w:ilvl w:val="0"/>
          <w:numId w:val="0"/>
        </w:numPr>
        <w:ind w:left="284"/>
      </w:pPr>
      <w:r>
        <w:rPr>
          <w:rFonts w:hint="eastAsia"/>
        </w:rPr>
        <w:t>特种设备检验机构按照表8所列方法进行评价确认，以确保其适宜性和可靠性。</w:t>
      </w:r>
    </w:p>
    <w:p>
      <w:pPr>
        <w:pStyle w:val="112"/>
        <w:spacing w:before="156" w:after="156"/>
      </w:pPr>
      <w:r>
        <w:rPr>
          <w:rFonts w:hint="eastAsia"/>
        </w:rPr>
        <w:t>评价验证方法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559"/>
        <w:gridCol w:w="70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99" w:type="dxa"/>
            <w:tcBorders>
              <w:top w:val="single" w:color="auto" w:sz="8" w:space="0"/>
              <w:bottom w:val="single" w:color="auto" w:sz="8" w:space="0"/>
            </w:tcBorders>
            <w:shd w:val="clear" w:color="auto" w:fill="auto"/>
          </w:tcPr>
          <w:p>
            <w:pPr>
              <w:pStyle w:val="178"/>
            </w:pPr>
            <w:r>
              <w:rPr>
                <w:rFonts w:hint="eastAsia"/>
              </w:rPr>
              <w:t>序号</w:t>
            </w:r>
          </w:p>
        </w:tc>
        <w:tc>
          <w:tcPr>
            <w:tcW w:w="1559" w:type="dxa"/>
            <w:tcBorders>
              <w:top w:val="single" w:color="auto" w:sz="8" w:space="0"/>
              <w:bottom w:val="single" w:color="auto" w:sz="8" w:space="0"/>
            </w:tcBorders>
            <w:shd w:val="clear" w:color="auto" w:fill="auto"/>
          </w:tcPr>
          <w:p>
            <w:pPr>
              <w:pStyle w:val="178"/>
            </w:pPr>
            <w:r>
              <w:rPr>
                <w:rFonts w:hint="eastAsia"/>
              </w:rPr>
              <w:t>功能</w:t>
            </w:r>
          </w:p>
        </w:tc>
        <w:tc>
          <w:tcPr>
            <w:tcW w:w="7076" w:type="dxa"/>
            <w:tcBorders>
              <w:top w:val="single" w:color="auto" w:sz="8" w:space="0"/>
              <w:bottom w:val="single" w:color="auto" w:sz="8" w:space="0"/>
            </w:tcBorders>
            <w:shd w:val="clear" w:color="auto" w:fill="auto"/>
          </w:tcPr>
          <w:p>
            <w:pPr>
              <w:pStyle w:val="178"/>
            </w:pPr>
            <w:r>
              <w:rPr>
                <w:rFonts w:hint="eastAsia"/>
              </w:rPr>
              <w:t>验证方法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tcBorders>
              <w:top w:val="single" w:color="auto" w:sz="8" w:space="0"/>
            </w:tcBorders>
            <w:shd w:val="clear" w:color="auto" w:fill="auto"/>
          </w:tcPr>
          <w:p>
            <w:pPr>
              <w:pStyle w:val="178"/>
            </w:pPr>
            <w:r>
              <w:rPr>
                <w:rFonts w:hint="eastAsia"/>
              </w:rPr>
              <w:t>1</w:t>
            </w:r>
          </w:p>
        </w:tc>
        <w:tc>
          <w:tcPr>
            <w:tcW w:w="1559" w:type="dxa"/>
            <w:tcBorders>
              <w:top w:val="single" w:color="auto" w:sz="8" w:space="0"/>
            </w:tcBorders>
            <w:shd w:val="clear" w:color="auto" w:fill="auto"/>
          </w:tcPr>
          <w:p>
            <w:pPr>
              <w:pStyle w:val="178"/>
              <w:jc w:val="left"/>
            </w:pPr>
            <w:r>
              <w:rPr>
                <w:rFonts w:hint="eastAsia"/>
              </w:rPr>
              <w:t>场车有效期</w:t>
            </w:r>
          </w:p>
        </w:tc>
        <w:tc>
          <w:tcPr>
            <w:tcW w:w="7076" w:type="dxa"/>
            <w:tcBorders>
              <w:top w:val="single" w:color="auto" w:sz="8" w:space="0"/>
            </w:tcBorders>
            <w:shd w:val="clear" w:color="auto" w:fill="auto"/>
          </w:tcPr>
          <w:p>
            <w:pPr>
              <w:pStyle w:val="178"/>
              <w:jc w:val="left"/>
            </w:pPr>
            <w:r>
              <w:rPr>
                <w:rFonts w:hint="eastAsia"/>
              </w:rPr>
              <w:t>现场验证应用系统中的场车是否超过的检验有效期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2</w:t>
            </w:r>
          </w:p>
        </w:tc>
        <w:tc>
          <w:tcPr>
            <w:tcW w:w="1559" w:type="dxa"/>
            <w:shd w:val="clear" w:color="auto" w:fill="auto"/>
          </w:tcPr>
          <w:p>
            <w:pPr>
              <w:pStyle w:val="178"/>
              <w:jc w:val="left"/>
            </w:pPr>
            <w:r>
              <w:rPr>
                <w:rFonts w:hint="eastAsia"/>
              </w:rPr>
              <w:t>司机权限信息采集</w:t>
            </w:r>
          </w:p>
        </w:tc>
        <w:tc>
          <w:tcPr>
            <w:tcW w:w="7076" w:type="dxa"/>
            <w:shd w:val="clear" w:color="auto" w:fill="auto"/>
          </w:tcPr>
          <w:p>
            <w:pPr>
              <w:pStyle w:val="178"/>
              <w:jc w:val="left"/>
            </w:pPr>
            <w:r>
              <w:rPr>
                <w:rFonts w:hint="eastAsia"/>
              </w:rPr>
              <w:t>现场验证应用系统是否能识别场车司机身份。首先应判断司机权限信息采集器是否能够且仅能够识别“通过指纹、虹膜、人脸特征等生物信息或者磁卡等与个人身份信息唯一绑定的媒介”。使用绑定的媒介操作，确定能否启动车辆。对于没有绑定的媒介，应不能启动车辆。同时，若采集器失效，则该项目也不满足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3</w:t>
            </w:r>
          </w:p>
        </w:tc>
        <w:tc>
          <w:tcPr>
            <w:tcW w:w="1559" w:type="dxa"/>
            <w:shd w:val="clear" w:color="auto" w:fill="auto"/>
          </w:tcPr>
          <w:p>
            <w:pPr>
              <w:pStyle w:val="178"/>
              <w:jc w:val="left"/>
            </w:pPr>
            <w:r>
              <w:rPr>
                <w:rFonts w:hint="eastAsia"/>
              </w:rPr>
              <w:t>司机身份识别</w:t>
            </w:r>
          </w:p>
        </w:tc>
        <w:tc>
          <w:tcPr>
            <w:tcW w:w="7076" w:type="dxa"/>
            <w:shd w:val="clear" w:color="auto" w:fill="auto"/>
          </w:tcPr>
          <w:p>
            <w:pPr>
              <w:pStyle w:val="178"/>
              <w:jc w:val="left"/>
            </w:pPr>
            <w:r>
              <w:rPr>
                <w:rFonts w:hint="eastAsia"/>
              </w:rPr>
              <w:t>现场验证特种设备作业人员证超期、司机信息不准确均不能启动车辆并发送预警信息到应用系统平台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4</w:t>
            </w:r>
          </w:p>
        </w:tc>
        <w:tc>
          <w:tcPr>
            <w:tcW w:w="1559" w:type="dxa"/>
            <w:shd w:val="clear" w:color="auto" w:fill="auto"/>
          </w:tcPr>
          <w:p>
            <w:pPr>
              <w:pStyle w:val="178"/>
              <w:jc w:val="left"/>
            </w:pPr>
            <w:r>
              <w:rPr>
                <w:rFonts w:hint="eastAsia"/>
              </w:rPr>
              <w:t>安全带等防护约束装置</w:t>
            </w:r>
          </w:p>
        </w:tc>
        <w:tc>
          <w:tcPr>
            <w:tcW w:w="7076" w:type="dxa"/>
            <w:shd w:val="clear" w:color="auto" w:fill="auto"/>
          </w:tcPr>
          <w:p>
            <w:pPr>
              <w:pStyle w:val="178"/>
              <w:jc w:val="left"/>
            </w:pPr>
            <w:r>
              <w:rPr>
                <w:rFonts w:hint="eastAsia"/>
              </w:rPr>
              <w:t>现场验证未使用安全带等防护约束装置，场车是否进行预警提示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5</w:t>
            </w:r>
          </w:p>
        </w:tc>
        <w:tc>
          <w:tcPr>
            <w:tcW w:w="1559" w:type="dxa"/>
            <w:shd w:val="clear" w:color="auto" w:fill="auto"/>
          </w:tcPr>
          <w:p>
            <w:pPr>
              <w:pStyle w:val="178"/>
              <w:jc w:val="left"/>
            </w:pPr>
            <w:r>
              <w:rPr>
                <w:rFonts w:hint="eastAsia"/>
              </w:rPr>
              <w:t>司机坐（站）姿感知系统</w:t>
            </w:r>
          </w:p>
        </w:tc>
        <w:tc>
          <w:tcPr>
            <w:tcW w:w="7076" w:type="dxa"/>
            <w:shd w:val="clear" w:color="auto" w:fill="auto"/>
          </w:tcPr>
          <w:p>
            <w:pPr>
              <w:pStyle w:val="178"/>
              <w:jc w:val="left"/>
            </w:pPr>
            <w:r>
              <w:rPr>
                <w:rFonts w:hint="eastAsia"/>
              </w:rPr>
              <w:t>首先应明确又车类型，现场验证当司机不在正常的操作位置(包括座位和站立位置)时，又车不能进行前进后退的运行动作，工作装置(包括门架升降、前后倾，货叉架的移动等)也不能动作。场车是否进行预警提示。当司机回到正常位置时即使各操作部件不在中位，如换向开关不在空挡位置，门架操作部件不在中位，又车不能自动动作。这时，需要操作相应的部件回到中位，再进行相应的操作，才能进行动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6</w:t>
            </w:r>
          </w:p>
        </w:tc>
        <w:tc>
          <w:tcPr>
            <w:tcW w:w="1559" w:type="dxa"/>
            <w:shd w:val="clear" w:color="auto" w:fill="auto"/>
          </w:tcPr>
          <w:p>
            <w:pPr>
              <w:pStyle w:val="178"/>
              <w:jc w:val="left"/>
            </w:pPr>
            <w:r>
              <w:rPr>
                <w:rFonts w:hint="eastAsia"/>
              </w:rPr>
              <w:t>超速</w:t>
            </w:r>
          </w:p>
        </w:tc>
        <w:tc>
          <w:tcPr>
            <w:tcW w:w="7076" w:type="dxa"/>
            <w:shd w:val="clear" w:color="auto" w:fill="auto"/>
          </w:tcPr>
          <w:p>
            <w:pPr>
              <w:pStyle w:val="178"/>
              <w:jc w:val="left"/>
            </w:pPr>
            <w:r>
              <w:rPr>
                <w:rFonts w:hint="eastAsia"/>
              </w:rPr>
              <w:t>现场使场车以稳定的速度行驶，各选取两种不同运行速度前进和后退,试验过程中检查系统实时记录并显示的运行速度数值，并验证是否在限速范围内，超过是佛进行预警提示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7</w:t>
            </w:r>
          </w:p>
        </w:tc>
        <w:tc>
          <w:tcPr>
            <w:tcW w:w="1559" w:type="dxa"/>
            <w:shd w:val="clear" w:color="auto" w:fill="auto"/>
          </w:tcPr>
          <w:p>
            <w:pPr>
              <w:pStyle w:val="178"/>
              <w:jc w:val="left"/>
            </w:pPr>
            <w:r>
              <w:rPr>
                <w:rFonts w:hint="eastAsia"/>
              </w:rPr>
              <w:t>定位</w:t>
            </w:r>
          </w:p>
        </w:tc>
        <w:tc>
          <w:tcPr>
            <w:tcW w:w="7076" w:type="dxa"/>
            <w:shd w:val="clear" w:color="auto" w:fill="auto"/>
          </w:tcPr>
          <w:p>
            <w:pPr>
              <w:pStyle w:val="178"/>
              <w:jc w:val="left"/>
            </w:pPr>
            <w:r>
              <w:rPr>
                <w:rFonts w:hint="eastAsia"/>
              </w:rPr>
              <w:t>场车处于运行状态时,现场观察应用系统中车辆的位置信息、运行状态信息是否和场车实际信息一致</w:t>
            </w:r>
          </w:p>
        </w:tc>
      </w:tr>
    </w:tbl>
    <w:p>
      <w:pPr>
        <w:pStyle w:val="56"/>
        <w:pageBreakBefore/>
        <w:spacing w:before="156" w:beforeLines="50" w:after="156" w:afterLines="50"/>
        <w:ind w:firstLine="0" w:firstLineChars="0"/>
        <w:jc w:val="center"/>
        <w:rPr>
          <w:rFonts w:hint="eastAsia" w:ascii="黑体" w:hAnsi="黑体" w:eastAsia="黑体"/>
        </w:rPr>
      </w:pPr>
      <w:r>
        <w:rPr>
          <w:rFonts w:hint="eastAsia" w:ascii="黑体" w:hAnsi="黑体" w:eastAsia="黑体"/>
        </w:rPr>
        <w:t>表8  评价验证方法</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559"/>
        <w:gridCol w:w="70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99" w:type="dxa"/>
            <w:tcBorders>
              <w:top w:val="single" w:color="auto" w:sz="8" w:space="0"/>
              <w:bottom w:val="single" w:color="auto" w:sz="8" w:space="0"/>
            </w:tcBorders>
            <w:shd w:val="clear" w:color="auto" w:fill="auto"/>
          </w:tcPr>
          <w:p>
            <w:pPr>
              <w:pStyle w:val="178"/>
            </w:pPr>
            <w:r>
              <w:rPr>
                <w:rFonts w:hint="eastAsia"/>
              </w:rPr>
              <w:t>序号</w:t>
            </w:r>
          </w:p>
        </w:tc>
        <w:tc>
          <w:tcPr>
            <w:tcW w:w="1559" w:type="dxa"/>
            <w:tcBorders>
              <w:top w:val="single" w:color="auto" w:sz="8" w:space="0"/>
              <w:bottom w:val="single" w:color="auto" w:sz="8" w:space="0"/>
            </w:tcBorders>
            <w:shd w:val="clear" w:color="auto" w:fill="auto"/>
          </w:tcPr>
          <w:p>
            <w:pPr>
              <w:pStyle w:val="178"/>
            </w:pPr>
            <w:r>
              <w:rPr>
                <w:rFonts w:hint="eastAsia"/>
              </w:rPr>
              <w:t>功能</w:t>
            </w:r>
          </w:p>
        </w:tc>
        <w:tc>
          <w:tcPr>
            <w:tcW w:w="7076" w:type="dxa"/>
            <w:tcBorders>
              <w:top w:val="single" w:color="auto" w:sz="8" w:space="0"/>
              <w:bottom w:val="single" w:color="auto" w:sz="8" w:space="0"/>
            </w:tcBorders>
            <w:shd w:val="clear" w:color="auto" w:fill="auto"/>
          </w:tcPr>
          <w:p>
            <w:pPr>
              <w:pStyle w:val="178"/>
            </w:pPr>
            <w:r>
              <w:rPr>
                <w:rFonts w:hint="eastAsia"/>
              </w:rPr>
              <w:t>验证方法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8</w:t>
            </w:r>
          </w:p>
        </w:tc>
        <w:tc>
          <w:tcPr>
            <w:tcW w:w="1559" w:type="dxa"/>
            <w:shd w:val="clear" w:color="auto" w:fill="auto"/>
          </w:tcPr>
          <w:p>
            <w:pPr>
              <w:pStyle w:val="178"/>
              <w:jc w:val="left"/>
            </w:pPr>
            <w:r>
              <w:rPr>
                <w:rFonts w:hint="eastAsia"/>
              </w:rPr>
              <w:t>点检</w:t>
            </w:r>
          </w:p>
        </w:tc>
        <w:tc>
          <w:tcPr>
            <w:tcW w:w="7076" w:type="dxa"/>
            <w:shd w:val="clear" w:color="auto" w:fill="auto"/>
          </w:tcPr>
          <w:p>
            <w:pPr>
              <w:pStyle w:val="178"/>
              <w:jc w:val="left"/>
            </w:pPr>
            <w:r>
              <w:rPr>
                <w:rFonts w:hint="eastAsia"/>
              </w:rPr>
              <w:t>现场验证场车在应用系统的点检情况是否满足要求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9</w:t>
            </w:r>
          </w:p>
        </w:tc>
        <w:tc>
          <w:tcPr>
            <w:tcW w:w="1559" w:type="dxa"/>
            <w:shd w:val="clear" w:color="auto" w:fill="auto"/>
          </w:tcPr>
          <w:p>
            <w:pPr>
              <w:pStyle w:val="178"/>
              <w:jc w:val="left"/>
            </w:pPr>
            <w:r>
              <w:rPr>
                <w:rFonts w:hint="eastAsia"/>
              </w:rPr>
              <w:t>安全警示教育</w:t>
            </w:r>
          </w:p>
        </w:tc>
        <w:tc>
          <w:tcPr>
            <w:tcW w:w="7076" w:type="dxa"/>
            <w:shd w:val="clear" w:color="auto" w:fill="auto"/>
          </w:tcPr>
          <w:p>
            <w:pPr>
              <w:pStyle w:val="178"/>
              <w:jc w:val="left"/>
            </w:pPr>
            <w:r>
              <w:rPr>
                <w:rFonts w:hint="eastAsia"/>
              </w:rPr>
              <w:t>现场验证作业人员在应用系统中的教育记录是否满足要求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10</w:t>
            </w:r>
          </w:p>
        </w:tc>
        <w:tc>
          <w:tcPr>
            <w:tcW w:w="1559" w:type="dxa"/>
            <w:shd w:val="clear" w:color="auto" w:fill="auto"/>
          </w:tcPr>
          <w:p>
            <w:pPr>
              <w:pStyle w:val="178"/>
              <w:jc w:val="left"/>
            </w:pPr>
            <w:r>
              <w:rPr>
                <w:rFonts w:hint="eastAsia"/>
              </w:rPr>
              <w:t>作业区域警示</w:t>
            </w:r>
          </w:p>
        </w:tc>
        <w:tc>
          <w:tcPr>
            <w:tcW w:w="7076" w:type="dxa"/>
            <w:shd w:val="clear" w:color="auto" w:fill="auto"/>
          </w:tcPr>
          <w:p>
            <w:pPr>
              <w:pStyle w:val="178"/>
              <w:jc w:val="left"/>
            </w:pPr>
            <w:r>
              <w:rPr>
                <w:rFonts w:hint="eastAsia"/>
              </w:rPr>
              <w:t>场车处于运行状态时，现场观察车辆是否具有作业区域提醒或警示功能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11</w:t>
            </w:r>
          </w:p>
        </w:tc>
        <w:tc>
          <w:tcPr>
            <w:tcW w:w="1559" w:type="dxa"/>
            <w:shd w:val="clear" w:color="auto" w:fill="auto"/>
          </w:tcPr>
          <w:p>
            <w:pPr>
              <w:pStyle w:val="178"/>
              <w:jc w:val="left"/>
            </w:pPr>
            <w:r>
              <w:rPr>
                <w:rFonts w:hint="eastAsia"/>
              </w:rPr>
              <w:t>车辆状态监控</w:t>
            </w:r>
          </w:p>
        </w:tc>
        <w:tc>
          <w:tcPr>
            <w:tcW w:w="7076" w:type="dxa"/>
            <w:shd w:val="clear" w:color="auto" w:fill="auto"/>
          </w:tcPr>
          <w:p>
            <w:pPr>
              <w:pStyle w:val="178"/>
              <w:jc w:val="left"/>
            </w:pPr>
            <w:r>
              <w:rPr>
                <w:rFonts w:hint="eastAsia"/>
              </w:rPr>
              <w:t>场车处于运行状态时，现场观察车辆起升高度、门架倾斜角度、车轮转向角度、人员感应距离、停车制动状态、倒车状态等参数是否在应用系统中进行监控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12</w:t>
            </w:r>
          </w:p>
        </w:tc>
        <w:tc>
          <w:tcPr>
            <w:tcW w:w="1559" w:type="dxa"/>
            <w:shd w:val="clear" w:color="auto" w:fill="auto"/>
          </w:tcPr>
          <w:p>
            <w:pPr>
              <w:pStyle w:val="178"/>
              <w:jc w:val="left"/>
            </w:pPr>
            <w:r>
              <w:rPr>
                <w:rFonts w:hint="eastAsia"/>
              </w:rPr>
              <w:t>违规作业行为抓拍</w:t>
            </w:r>
          </w:p>
        </w:tc>
        <w:tc>
          <w:tcPr>
            <w:tcW w:w="7076" w:type="dxa"/>
            <w:shd w:val="clear" w:color="auto" w:fill="auto"/>
          </w:tcPr>
          <w:p>
            <w:pPr>
              <w:pStyle w:val="178"/>
              <w:jc w:val="left"/>
            </w:pPr>
            <w:r>
              <w:rPr>
                <w:rFonts w:hint="eastAsia"/>
              </w:rPr>
              <w:t>场车处于运行状态时，现场观察车辆是否具有 人脸识别比对，违规行为抓取实时监控功能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13</w:t>
            </w:r>
          </w:p>
        </w:tc>
        <w:tc>
          <w:tcPr>
            <w:tcW w:w="1559" w:type="dxa"/>
            <w:shd w:val="clear" w:color="auto" w:fill="auto"/>
          </w:tcPr>
          <w:p>
            <w:pPr>
              <w:pStyle w:val="178"/>
              <w:jc w:val="left"/>
            </w:pPr>
            <w:r>
              <w:rPr>
                <w:rFonts w:hint="eastAsia"/>
              </w:rPr>
              <w:t>企业管理</w:t>
            </w:r>
          </w:p>
        </w:tc>
        <w:tc>
          <w:tcPr>
            <w:tcW w:w="7076" w:type="dxa"/>
            <w:shd w:val="clear" w:color="auto" w:fill="auto"/>
          </w:tcPr>
          <w:p>
            <w:pPr>
              <w:pStyle w:val="178"/>
              <w:jc w:val="left"/>
            </w:pPr>
            <w:r>
              <w:rPr>
                <w:rFonts w:hint="eastAsia"/>
              </w:rPr>
              <w:t>现场验证应用系统中是否建立场车管理台账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14</w:t>
            </w:r>
          </w:p>
        </w:tc>
        <w:tc>
          <w:tcPr>
            <w:tcW w:w="1559" w:type="dxa"/>
            <w:shd w:val="clear" w:color="auto" w:fill="auto"/>
          </w:tcPr>
          <w:p>
            <w:pPr>
              <w:pStyle w:val="178"/>
              <w:jc w:val="left"/>
            </w:pPr>
            <w:r>
              <w:rPr>
                <w:rFonts w:hint="eastAsia"/>
              </w:rPr>
              <w:t>视野视认性不良</w:t>
            </w:r>
          </w:p>
        </w:tc>
        <w:tc>
          <w:tcPr>
            <w:tcW w:w="7076" w:type="dxa"/>
            <w:shd w:val="clear" w:color="auto" w:fill="auto"/>
          </w:tcPr>
          <w:p>
            <w:pPr>
              <w:pStyle w:val="178"/>
              <w:jc w:val="left"/>
            </w:pPr>
            <w:r>
              <w:rPr>
                <w:rFonts w:hint="eastAsia"/>
              </w:rPr>
              <w:t>从操作者正常操作位置观察场车前、后盲区状态，检查应用系统有无实时记录盲区视频信息。可判断视野遮挡等情况，并作出声光提示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15</w:t>
            </w:r>
          </w:p>
        </w:tc>
        <w:tc>
          <w:tcPr>
            <w:tcW w:w="1559" w:type="dxa"/>
            <w:shd w:val="clear" w:color="auto" w:fill="auto"/>
          </w:tcPr>
          <w:p>
            <w:pPr>
              <w:pStyle w:val="178"/>
              <w:jc w:val="left"/>
            </w:pPr>
            <w:r>
              <w:rPr>
                <w:rFonts w:hint="eastAsia"/>
              </w:rPr>
              <w:t>车速监控</w:t>
            </w:r>
          </w:p>
        </w:tc>
        <w:tc>
          <w:tcPr>
            <w:tcW w:w="7076" w:type="dxa"/>
            <w:shd w:val="clear" w:color="auto" w:fill="auto"/>
          </w:tcPr>
          <w:p>
            <w:pPr>
              <w:pStyle w:val="178"/>
              <w:jc w:val="left"/>
            </w:pPr>
            <w:r>
              <w:rPr>
                <w:rFonts w:hint="eastAsia"/>
              </w:rPr>
              <w:t>使场车以稳定的速度行驶。 各选取两种不同运行速度前进和后退，试验过程中检查应用系统实时记录并显示的运行速度数值，并验证综合误差是否满足要求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16</w:t>
            </w:r>
          </w:p>
        </w:tc>
        <w:tc>
          <w:tcPr>
            <w:tcW w:w="1559" w:type="dxa"/>
            <w:shd w:val="clear" w:color="auto" w:fill="auto"/>
          </w:tcPr>
          <w:p>
            <w:pPr>
              <w:pStyle w:val="178"/>
              <w:jc w:val="left"/>
            </w:pPr>
            <w:r>
              <w:rPr>
                <w:rFonts w:hint="eastAsia"/>
              </w:rPr>
              <w:t>边界提示</w:t>
            </w:r>
          </w:p>
        </w:tc>
        <w:tc>
          <w:tcPr>
            <w:tcW w:w="7076" w:type="dxa"/>
            <w:shd w:val="clear" w:color="auto" w:fill="auto"/>
          </w:tcPr>
          <w:p>
            <w:pPr>
              <w:pStyle w:val="178"/>
              <w:jc w:val="left"/>
            </w:pPr>
            <w:r>
              <w:rPr>
                <w:rFonts w:hint="eastAsia"/>
              </w:rPr>
              <w:t>场车处于运行状态时,现场观察车辆周围的有非作业人员超出边界是否有提示功能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17</w:t>
            </w:r>
          </w:p>
        </w:tc>
        <w:tc>
          <w:tcPr>
            <w:tcW w:w="1559" w:type="dxa"/>
            <w:shd w:val="clear" w:color="auto" w:fill="auto"/>
          </w:tcPr>
          <w:p>
            <w:pPr>
              <w:pStyle w:val="178"/>
              <w:jc w:val="left"/>
            </w:pPr>
            <w:r>
              <w:rPr>
                <w:rFonts w:hint="eastAsia"/>
              </w:rPr>
              <w:t>碰撞预警</w:t>
            </w:r>
          </w:p>
        </w:tc>
        <w:tc>
          <w:tcPr>
            <w:tcW w:w="7076" w:type="dxa"/>
            <w:shd w:val="clear" w:color="auto" w:fill="auto"/>
          </w:tcPr>
          <w:p>
            <w:pPr>
              <w:pStyle w:val="178"/>
              <w:jc w:val="left"/>
            </w:pPr>
            <w:r>
              <w:rPr>
                <w:rFonts w:hint="eastAsia"/>
              </w:rPr>
              <w:t>场车处于运行状态时，现场观察车辆是否具有作业区域提醒或警示功能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18</w:t>
            </w:r>
          </w:p>
        </w:tc>
        <w:tc>
          <w:tcPr>
            <w:tcW w:w="1559" w:type="dxa"/>
            <w:shd w:val="clear" w:color="auto" w:fill="auto"/>
          </w:tcPr>
          <w:p>
            <w:pPr>
              <w:pStyle w:val="178"/>
              <w:jc w:val="left"/>
            </w:pPr>
            <w:r>
              <w:rPr>
                <w:rFonts w:hint="eastAsia"/>
              </w:rPr>
              <w:t>其他</w:t>
            </w:r>
          </w:p>
        </w:tc>
        <w:tc>
          <w:tcPr>
            <w:tcW w:w="7076" w:type="dxa"/>
            <w:shd w:val="clear" w:color="auto" w:fill="auto"/>
          </w:tcPr>
          <w:p>
            <w:pPr>
              <w:pStyle w:val="178"/>
              <w:jc w:val="left"/>
            </w:pPr>
            <w:r>
              <w:rPr>
                <w:rFonts w:hint="eastAsia"/>
              </w:rPr>
              <w:t>其他扩展功能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tcPr>
          <w:p>
            <w:pPr>
              <w:pStyle w:val="178"/>
            </w:pPr>
            <w:r>
              <w:rPr>
                <w:rFonts w:hint="eastAsia"/>
              </w:rPr>
              <w:t>19</w:t>
            </w:r>
          </w:p>
        </w:tc>
        <w:tc>
          <w:tcPr>
            <w:tcW w:w="1559" w:type="dxa"/>
            <w:shd w:val="clear" w:color="auto" w:fill="auto"/>
          </w:tcPr>
          <w:p>
            <w:pPr>
              <w:pStyle w:val="178"/>
              <w:jc w:val="left"/>
            </w:pPr>
            <w:r>
              <w:rPr>
                <w:rFonts w:hint="eastAsia"/>
              </w:rPr>
              <w:t>数据交互</w:t>
            </w:r>
          </w:p>
        </w:tc>
        <w:tc>
          <w:tcPr>
            <w:tcW w:w="7076" w:type="dxa"/>
            <w:shd w:val="clear" w:color="auto" w:fill="auto"/>
          </w:tcPr>
          <w:p>
            <w:pPr>
              <w:pStyle w:val="178"/>
              <w:numPr>
                <w:ilvl w:val="0"/>
                <w:numId w:val="42"/>
              </w:numPr>
              <w:jc w:val="left"/>
            </w:pPr>
            <w:r>
              <w:rPr>
                <w:rFonts w:hint="eastAsia"/>
              </w:rPr>
              <w:t>场车呈空载状态，现场验证应用系统是否具有场车作业状态的实时显示功能，是否能以图形、图像、图标或文字的方式显示场车的场车运行状态信息、场车位置信息、场车使用单位预警及处理信息、 场车作业人员信息；</w:t>
            </w:r>
          </w:p>
          <w:p>
            <w:pPr>
              <w:pStyle w:val="178"/>
              <w:numPr>
                <w:ilvl w:val="0"/>
                <w:numId w:val="42"/>
              </w:numPr>
              <w:jc w:val="left"/>
            </w:pPr>
            <w:r>
              <w:rPr>
                <w:rFonts w:hint="eastAsia"/>
              </w:rPr>
              <w:t>调取连续工作一个工作时间过程中存储的所有信息，检查应用系统存储的数据信息或图像信息是 否包含数据或图像的日期，工作时间与试验的数据是否一致。 是否能追溯到场车的运行状态及故障报警信息；</w:t>
            </w:r>
          </w:p>
          <w:p>
            <w:pPr>
              <w:pStyle w:val="178"/>
              <w:numPr>
                <w:ilvl w:val="0"/>
                <w:numId w:val="42"/>
              </w:numPr>
              <w:jc w:val="left"/>
            </w:pPr>
            <w:r>
              <w:rPr>
                <w:rFonts w:hint="eastAsia"/>
              </w:rPr>
              <w:t>现场验证应用系统是否预留向场车智慧管理大数据平台传输数据的接口。</w:t>
            </w:r>
          </w:p>
        </w:tc>
      </w:tr>
    </w:tbl>
    <w:p>
      <w:pPr>
        <w:pStyle w:val="56"/>
        <w:ind w:firstLine="420"/>
      </w:pPr>
    </w:p>
    <w:p>
      <w:pPr>
        <w:pStyle w:val="56"/>
        <w:ind w:firstLine="420"/>
      </w:pPr>
    </w:p>
    <w:p>
      <w:pPr>
        <w:pStyle w:val="104"/>
        <w:numPr>
          <w:ilvl w:val="0"/>
          <w:numId w:val="0"/>
        </w:numPr>
        <w:spacing w:before="312" w:after="312"/>
      </w:pPr>
    </w:p>
    <w:p>
      <w:pPr>
        <w:pStyle w:val="56"/>
        <w:ind w:firstLine="420"/>
      </w:pPr>
    </w:p>
    <w:p>
      <w:pPr>
        <w:pStyle w:val="56"/>
        <w:ind w:firstLine="420"/>
      </w:pPr>
    </w:p>
    <w:bookmarkEnd w:id="25"/>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bookmarkStart w:id="192" w:name="BookMark6"/>
    </w:p>
    <w:p>
      <w:pPr>
        <w:pStyle w:val="63"/>
        <w:spacing w:after="156"/>
      </w:pPr>
      <w:bookmarkStart w:id="193" w:name="_Toc8132"/>
      <w:bookmarkStart w:id="194" w:name="_Toc177510392"/>
      <w:bookmarkStart w:id="195" w:name="_Toc178278207"/>
      <w:bookmarkStart w:id="196" w:name="_Toc177512245"/>
      <w:bookmarkStart w:id="197" w:name="_Toc178278153"/>
      <w:r>
        <w:rPr>
          <w:rFonts w:hint="eastAsia"/>
          <w:spacing w:val="105"/>
        </w:rPr>
        <w:t>参考文</w:t>
      </w:r>
      <w:r>
        <w:rPr>
          <w:rFonts w:hint="eastAsia"/>
        </w:rPr>
        <w:t>献</w:t>
      </w:r>
      <w:bookmarkEnd w:id="193"/>
      <w:bookmarkEnd w:id="194"/>
      <w:bookmarkEnd w:id="195"/>
      <w:bookmarkEnd w:id="196"/>
      <w:bookmarkEnd w:id="197"/>
    </w:p>
    <w:p>
      <w:pPr>
        <w:pStyle w:val="56"/>
        <w:ind w:firstLine="420"/>
      </w:pPr>
      <w:r>
        <w:rPr>
          <w:rFonts w:hint="eastAsia"/>
        </w:rPr>
        <w:t>［1］</w:t>
      </w:r>
      <w:r>
        <w:rPr>
          <w:rFonts w:hint="eastAsia"/>
        </w:rPr>
        <w:tab/>
      </w:r>
      <w:r>
        <w:rPr>
          <w:rFonts w:hint="eastAsia"/>
        </w:rPr>
        <w:t>TSG 81-2022  场(厂)内专用机动车辆安全技术规程</w:t>
      </w:r>
    </w:p>
    <w:p>
      <w:pPr>
        <w:pStyle w:val="56"/>
        <w:ind w:firstLine="420"/>
      </w:pPr>
      <w:r>
        <w:rPr>
          <w:rFonts w:hint="eastAsia"/>
        </w:rPr>
        <w:t>［2］</w:t>
      </w:r>
      <w:r>
        <w:rPr>
          <w:rFonts w:hint="eastAsia"/>
        </w:rPr>
        <w:tab/>
      </w:r>
      <w:r>
        <w:rPr>
          <w:rFonts w:hint="eastAsia"/>
        </w:rPr>
        <w:t>TSG Z6001—2019 特种设备作业人员考核规则</w:t>
      </w:r>
    </w:p>
    <w:p>
      <w:pPr>
        <w:pStyle w:val="56"/>
        <w:ind w:firstLine="420"/>
      </w:pPr>
    </w:p>
    <w:p>
      <w:pPr>
        <w:pStyle w:val="56"/>
        <w:ind w:firstLine="420"/>
      </w:pPr>
    </w:p>
    <w:p>
      <w:pPr>
        <w:pStyle w:val="56"/>
        <w:ind w:firstLine="420"/>
        <w:jc w:val="center"/>
      </w:pPr>
      <w:r>
        <w:rPr>
          <w:rFonts w:hint="eastAsia"/>
          <w:color w:val="000000" w:themeColor="text1"/>
          <w14:textFill>
            <w14:solidFill>
              <w14:schemeClr w14:val="tx1"/>
            </w14:solidFill>
          </w14:textFill>
        </w:rPr>
        <w:drawing>
          <wp:inline distT="0" distB="0" distL="0" distR="0">
            <wp:extent cx="1485900" cy="317500"/>
            <wp:effectExtent l="0" t="0" r="0" b="6350"/>
            <wp:docPr id="2048520098" name="图片 2048520098"/>
            <wp:cNvGraphicFramePr/>
            <a:graphic xmlns:a="http://schemas.openxmlformats.org/drawingml/2006/main">
              <a:graphicData uri="http://schemas.openxmlformats.org/drawingml/2006/picture">
                <pic:pic xmlns:pic="http://schemas.openxmlformats.org/drawingml/2006/picture">
                  <pic:nvPicPr>
                    <pic:cNvPr id="2048520098" name="图片 2048520098"/>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bookmarkEnd w:id="192"/>
    <w:p>
      <w:pPr>
        <w:pStyle w:val="56"/>
        <w:ind w:firstLine="0" w:firstLineChars="0"/>
        <w:jc w:val="center"/>
      </w:pPr>
    </w:p>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8</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 32/T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32/T XXXX—202X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 32/T XXXX—202X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32/T XXXX—202X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 32/T XXXX—202X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32/T XXXX—202X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568"/>
        </w:tabs>
        <w:ind w:left="568" w:hanging="426"/>
      </w:pPr>
      <w:rPr>
        <w:rFonts w:hint="eastAsia" w:ascii="宋体" w:hAnsi="Times New Roman" w:eastAsia="宋体"/>
        <w:b w:val="0"/>
        <w:i w:val="0"/>
        <w:sz w:val="21"/>
      </w:rPr>
    </w:lvl>
    <w:lvl w:ilvl="1" w:tentative="0">
      <w:start w:val="1"/>
      <w:numFmt w:val="none"/>
      <w:pStyle w:val="187"/>
      <w:lvlText w:val=""/>
      <w:lvlJc w:val="left"/>
      <w:pPr>
        <w:ind w:left="568" w:hanging="431"/>
      </w:pPr>
      <w:rPr>
        <w:rFonts w:hint="default" w:ascii="Symbol" w:hAnsi="Symbol"/>
        <w:sz w:val="21"/>
      </w:rPr>
    </w:lvl>
    <w:lvl w:ilvl="2" w:tentative="0">
      <w:start w:val="1"/>
      <w:numFmt w:val="bullet"/>
      <w:pStyle w:val="172"/>
      <w:lvlText w:val=""/>
      <w:lvlJc w:val="left"/>
      <w:pPr>
        <w:ind w:left="568" w:hanging="426"/>
      </w:pPr>
      <w:rPr>
        <w:rFonts w:hint="default" w:ascii="Wingdings" w:hAnsi="Wingdings"/>
        <w:sz w:val="21"/>
      </w:rPr>
    </w:lvl>
    <w:lvl w:ilvl="3" w:tentative="0">
      <w:start w:val="1"/>
      <w:numFmt w:val="decimal"/>
      <w:lvlText w:val="%4."/>
      <w:lvlJc w:val="left"/>
      <w:pPr>
        <w:tabs>
          <w:tab w:val="left" w:pos="1788"/>
        </w:tabs>
        <w:ind w:left="1601" w:hanging="528"/>
      </w:pPr>
      <w:rPr>
        <w:rFonts w:hint="eastAsia"/>
      </w:rPr>
    </w:lvl>
    <w:lvl w:ilvl="4" w:tentative="0">
      <w:start w:val="1"/>
      <w:numFmt w:val="lowerLetter"/>
      <w:lvlText w:val="%5)"/>
      <w:lvlJc w:val="left"/>
      <w:pPr>
        <w:tabs>
          <w:tab w:val="left" w:pos="2100"/>
        </w:tabs>
        <w:ind w:left="1913" w:hanging="528"/>
      </w:pPr>
      <w:rPr>
        <w:rFonts w:hint="eastAsia"/>
      </w:rPr>
    </w:lvl>
    <w:lvl w:ilvl="5" w:tentative="0">
      <w:start w:val="1"/>
      <w:numFmt w:val="lowerRoman"/>
      <w:lvlText w:val="%6."/>
      <w:lvlJc w:val="right"/>
      <w:pPr>
        <w:tabs>
          <w:tab w:val="left" w:pos="2412"/>
        </w:tabs>
        <w:ind w:left="2225" w:hanging="528"/>
      </w:pPr>
      <w:rPr>
        <w:rFonts w:hint="eastAsia"/>
      </w:rPr>
    </w:lvl>
    <w:lvl w:ilvl="6" w:tentative="0">
      <w:start w:val="1"/>
      <w:numFmt w:val="decimal"/>
      <w:lvlText w:val="%7."/>
      <w:lvlJc w:val="left"/>
      <w:pPr>
        <w:tabs>
          <w:tab w:val="left" w:pos="2724"/>
        </w:tabs>
        <w:ind w:left="2537" w:hanging="528"/>
      </w:pPr>
      <w:rPr>
        <w:rFonts w:hint="eastAsia"/>
      </w:rPr>
    </w:lvl>
    <w:lvl w:ilvl="7" w:tentative="0">
      <w:start w:val="1"/>
      <w:numFmt w:val="lowerLetter"/>
      <w:lvlText w:val="%8)"/>
      <w:lvlJc w:val="left"/>
      <w:pPr>
        <w:tabs>
          <w:tab w:val="left" w:pos="3036"/>
        </w:tabs>
        <w:ind w:left="2849" w:hanging="528"/>
      </w:pPr>
      <w:rPr>
        <w:rFonts w:hint="eastAsia"/>
      </w:rPr>
    </w:lvl>
    <w:lvl w:ilvl="8" w:tentative="0">
      <w:start w:val="1"/>
      <w:numFmt w:val="lowerRoman"/>
      <w:lvlText w:val="%9."/>
      <w:lvlJc w:val="right"/>
      <w:pPr>
        <w:tabs>
          <w:tab w:val="left" w:pos="3348"/>
        </w:tabs>
        <w:ind w:left="3161"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1197" w:firstLine="363"/>
      </w:pPr>
      <w:rPr>
        <w:rFonts w:hint="eastAsia" w:ascii="黑体" w:eastAsia="黑体"/>
        <w:b w:val="0"/>
        <w:i w:val="0"/>
        <w:sz w:val="18"/>
      </w:rPr>
    </w:lvl>
    <w:lvl w:ilvl="1" w:tentative="0">
      <w:start w:val="1"/>
      <w:numFmt w:val="none"/>
      <w:suff w:val="space"/>
      <w:lvlText w:val=""/>
      <w:lvlJc w:val="left"/>
      <w:pPr>
        <w:ind w:left="1197" w:firstLine="0"/>
      </w:pPr>
      <w:rPr>
        <w:rFonts w:hint="eastAsia"/>
      </w:rPr>
    </w:lvl>
    <w:lvl w:ilvl="2" w:tentative="0">
      <w:start w:val="1"/>
      <w:numFmt w:val="decimal"/>
      <w:suff w:val="space"/>
      <w:lvlText w:val="2.2.%3"/>
      <w:lvlJc w:val="left"/>
      <w:pPr>
        <w:ind w:left="1197" w:firstLine="0"/>
      </w:pPr>
      <w:rPr>
        <w:rFonts w:hint="eastAsia"/>
      </w:rPr>
    </w:lvl>
    <w:lvl w:ilvl="3" w:tentative="0">
      <w:start w:val="1"/>
      <w:numFmt w:val="decimal"/>
      <w:lvlText w:val="%4."/>
      <w:lvlJc w:val="left"/>
      <w:pPr>
        <w:tabs>
          <w:tab w:val="left" w:pos="1197"/>
        </w:tabs>
        <w:ind w:left="2189" w:hanging="629"/>
      </w:pPr>
      <w:rPr>
        <w:rFonts w:hint="eastAsia"/>
      </w:rPr>
    </w:lvl>
    <w:lvl w:ilvl="4" w:tentative="0">
      <w:start w:val="1"/>
      <w:numFmt w:val="lowerLetter"/>
      <w:lvlText w:val="%5)"/>
      <w:lvlJc w:val="left"/>
      <w:pPr>
        <w:tabs>
          <w:tab w:val="left" w:pos="1197"/>
        </w:tabs>
        <w:ind w:left="2189" w:hanging="629"/>
      </w:pPr>
      <w:rPr>
        <w:rFonts w:hint="eastAsia"/>
      </w:rPr>
    </w:lvl>
    <w:lvl w:ilvl="5" w:tentative="0">
      <w:start w:val="1"/>
      <w:numFmt w:val="lowerRoman"/>
      <w:lvlText w:val="%6."/>
      <w:lvlJc w:val="right"/>
      <w:pPr>
        <w:tabs>
          <w:tab w:val="left" w:pos="1197"/>
        </w:tabs>
        <w:ind w:left="2189" w:hanging="629"/>
      </w:pPr>
      <w:rPr>
        <w:rFonts w:hint="eastAsia"/>
      </w:rPr>
    </w:lvl>
    <w:lvl w:ilvl="6" w:tentative="0">
      <w:start w:val="1"/>
      <w:numFmt w:val="decimal"/>
      <w:lvlText w:val="%7."/>
      <w:lvlJc w:val="left"/>
      <w:pPr>
        <w:tabs>
          <w:tab w:val="left" w:pos="1197"/>
        </w:tabs>
        <w:ind w:left="2189" w:hanging="629"/>
      </w:pPr>
      <w:rPr>
        <w:rFonts w:hint="eastAsia"/>
      </w:rPr>
    </w:lvl>
    <w:lvl w:ilvl="7" w:tentative="0">
      <w:start w:val="1"/>
      <w:numFmt w:val="lowerLetter"/>
      <w:lvlText w:val="%8)"/>
      <w:lvlJc w:val="left"/>
      <w:pPr>
        <w:tabs>
          <w:tab w:val="left" w:pos="1197"/>
        </w:tabs>
        <w:ind w:left="2189" w:hanging="629"/>
      </w:pPr>
      <w:rPr>
        <w:rFonts w:hint="eastAsia"/>
      </w:rPr>
    </w:lvl>
    <w:lvl w:ilvl="8" w:tentative="0">
      <w:start w:val="1"/>
      <w:numFmt w:val="lowerRoman"/>
      <w:lvlText w:val="%9."/>
      <w:lvlJc w:val="right"/>
      <w:pPr>
        <w:tabs>
          <w:tab w:val="left" w:pos="1197"/>
        </w:tabs>
        <w:ind w:left="2189"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482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784952FF"/>
    <w:multiLevelType w:val="multilevel"/>
    <w:tmpl w:val="784952FF"/>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attachedTemplate r:id="rId1"/>
  <w:documentProtection w:edit="forms" w:enforcement="1" w:cryptProviderType="rsaAES" w:cryptAlgorithmClass="hash" w:cryptAlgorithmType="typeAny" w:cryptAlgorithmSid="14" w:cryptSpinCount="100000" w:hash="MSGNTqEWvjZfM4ErW9Un3o1Udhlw2xryYPHZ/5gDekz0TbOtFBmNV47ffKy6wULnmvku35HlmRKqwOiIDFVDGg==" w:salt="Jwm7BhVO+tb8PfSOzMfo3A=="/>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RiZGRkZjJjMTc5MGQ1ZDhjOTVjODQ0NDRiNDE4ZDMifQ=="/>
  </w:docVars>
  <w:rsids>
    <w:rsidRoot w:val="0058451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AD8"/>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27F19"/>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635"/>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56A1"/>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578"/>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11FC"/>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2D4C"/>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451A"/>
    <w:rsid w:val="00586630"/>
    <w:rsid w:val="00587ADD"/>
    <w:rsid w:val="00591E27"/>
    <w:rsid w:val="0059517F"/>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5D23"/>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88E"/>
    <w:rsid w:val="00651ACB"/>
    <w:rsid w:val="00651C47"/>
    <w:rsid w:val="00652AB2"/>
    <w:rsid w:val="00653FED"/>
    <w:rsid w:val="00654EC0"/>
    <w:rsid w:val="0065525B"/>
    <w:rsid w:val="00655D4F"/>
    <w:rsid w:val="00656D29"/>
    <w:rsid w:val="0066363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66F"/>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4BF"/>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123"/>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9D5"/>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04BB"/>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588"/>
    <w:rsid w:val="00C42130"/>
    <w:rsid w:val="00C423A4"/>
    <w:rsid w:val="00C44BF5"/>
    <w:rsid w:val="00C521D6"/>
    <w:rsid w:val="00C55232"/>
    <w:rsid w:val="00C553A4"/>
    <w:rsid w:val="00C55A06"/>
    <w:rsid w:val="00C55D03"/>
    <w:rsid w:val="00C601BC"/>
    <w:rsid w:val="00C6329F"/>
    <w:rsid w:val="00C63340"/>
    <w:rsid w:val="00C643F9"/>
    <w:rsid w:val="00C64E95"/>
    <w:rsid w:val="00C70B74"/>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025C"/>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36B1"/>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5E59"/>
    <w:rsid w:val="00FF730C"/>
    <w:rsid w:val="00FF73F4"/>
    <w:rsid w:val="00FF7CE4"/>
    <w:rsid w:val="00FF7E39"/>
    <w:rsid w:val="22F434CF"/>
    <w:rsid w:val="25065990"/>
    <w:rsid w:val="2F475B9D"/>
    <w:rsid w:val="2FCE77E2"/>
    <w:rsid w:val="36D9180C"/>
    <w:rsid w:val="37EA1649"/>
    <w:rsid w:val="4CAB709C"/>
    <w:rsid w:val="59E6379A"/>
    <w:rsid w:val="69C969B2"/>
    <w:rsid w:val="6B7A29CA"/>
    <w:rsid w:val="6CBA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ind w:left="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ind w:left="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3.jpeg"/><Relationship Id="rId25" Type="http://schemas.openxmlformats.org/officeDocument/2006/relationships/image" Target="media/image2.pn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2FD14D919994851AA98777B6D607BAC"/>
        <w:style w:val=""/>
        <w:category>
          <w:name w:val="常规"/>
          <w:gallery w:val="placeholder"/>
        </w:category>
        <w:types>
          <w:type w:val="bbPlcHdr"/>
        </w:types>
        <w:behaviors>
          <w:behavior w:val="content"/>
        </w:behaviors>
        <w:description w:val=""/>
        <w:guid w:val="{2442C184-EF8B-4B94-ABDF-0D32D00E1868}"/>
      </w:docPartPr>
      <w:docPartBody>
        <w:p>
          <w:pPr>
            <w:pStyle w:val="5"/>
            <w:rPr>
              <w:rFonts w:hint="eastAsia"/>
            </w:rPr>
          </w:pPr>
          <w:r>
            <w:rPr>
              <w:rStyle w:val="4"/>
              <w:rFonts w:hint="eastAsia"/>
            </w:rPr>
            <w:t>单击或点击此处输入文字。</w:t>
          </w:r>
        </w:p>
      </w:docPartBody>
    </w:docPart>
    <w:docPart>
      <w:docPartPr>
        <w:name w:val="BA3991C2FE0149238398BBB94751B96A"/>
        <w:style w:val=""/>
        <w:category>
          <w:name w:val="常规"/>
          <w:gallery w:val="placeholder"/>
        </w:category>
        <w:types>
          <w:type w:val="bbPlcHdr"/>
        </w:types>
        <w:behaviors>
          <w:behavior w:val="content"/>
        </w:behaviors>
        <w:description w:val=""/>
        <w:guid w:val="{4A6A3112-2BC1-49BF-B976-C845B3A4F463}"/>
      </w:docPartPr>
      <w:docPartBody>
        <w:p>
          <w:pPr>
            <w:pStyle w:val="6"/>
            <w:rPr>
              <w:rFonts w:hint="eastAsia"/>
            </w:rPr>
          </w:pPr>
          <w:r>
            <w:rPr>
              <w:rStyle w:val="4"/>
              <w:rFonts w:hint="eastAsia"/>
            </w:rPr>
            <w:t>选择一项。</w:t>
          </w:r>
        </w:p>
      </w:docPartBody>
    </w:docPart>
    <w:docPart>
      <w:docPartPr>
        <w:name w:val="A7FC27A14B004DB59F1EC1E26B5DB59C"/>
        <w:style w:val=""/>
        <w:category>
          <w:name w:val="常规"/>
          <w:gallery w:val="placeholder"/>
        </w:category>
        <w:types>
          <w:type w:val="bbPlcHdr"/>
        </w:types>
        <w:behaviors>
          <w:behavior w:val="content"/>
        </w:behaviors>
        <w:description w:val=""/>
        <w:guid w:val="{21E4319E-81EA-4633-934A-E962094D2555}"/>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C10"/>
    <w:rsid w:val="00392D4C"/>
    <w:rsid w:val="003E0A04"/>
    <w:rsid w:val="003E0DD2"/>
    <w:rsid w:val="005D5D23"/>
    <w:rsid w:val="006150C6"/>
    <w:rsid w:val="0064688E"/>
    <w:rsid w:val="00817C10"/>
    <w:rsid w:val="00BE0993"/>
    <w:rsid w:val="00E81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2FD14D919994851AA98777B6D607BAC"/>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BA3991C2FE0149238398BBB94751B96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A7FC27A14B004DB59F1EC1E26B5DB59C"/>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13</Pages>
  <Words>1482</Words>
  <Characters>8451</Characters>
  <Lines>70</Lines>
  <Paragraphs>19</Paragraphs>
  <TotalTime>18</TotalTime>
  <ScaleCrop>false</ScaleCrop>
  <LinksUpToDate>false</LinksUpToDate>
  <CharactersWithSpaces>9914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2024-09-17T14:44:00Z</dcterms:created>
  <dc:creator>yi wang</dc:creator>
  <dc:description>&lt;config cover="true" show_menu="true" version="1.0.0" doctype="SDKXY"&gt;_x000d_
&lt;/config&gt;</dc:description>
  <cp:lastModifiedBy>时样锦</cp:lastModifiedBy>
  <cp:lastPrinted>2020-08-30T10:00:00Z</cp:lastPrinted>
  <dcterms:modified xsi:type="dcterms:W3CDTF">2024-10-22T01:17:22Z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2052-12.1.0.16729</vt:lpwstr>
  </property>
  <property fmtid="{D5CDD505-2E9C-101B-9397-08002B2CF9AE}" pid="16" name="ICV">
    <vt:lpwstr>97856660292A4B6DBA22089874214856_13</vt:lpwstr>
  </property>
</Properties>
</file>